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57" w:rsidRDefault="00F53A57" w:rsidP="00F53A57">
      <w:pPr>
        <w:spacing w:line="100" w:lineRule="atLeast"/>
        <w:ind w:left="5387" w:right="281"/>
        <w:rPr>
          <w:rFonts w:ascii="Times New Roman" w:hAnsi="Times New Roman" w:cs="Times New Roman"/>
          <w:sz w:val="24"/>
          <w:szCs w:val="24"/>
        </w:rPr>
      </w:pPr>
    </w:p>
    <w:p w:rsidR="00F53A57" w:rsidRDefault="00F53A57" w:rsidP="00F53A57">
      <w:pPr>
        <w:spacing w:line="100" w:lineRule="atLeast"/>
        <w:ind w:left="5387" w:right="281"/>
        <w:rPr>
          <w:rFonts w:ascii="Times New Roman" w:hAnsi="Times New Roman" w:cs="Times New Roman"/>
          <w:sz w:val="24"/>
          <w:szCs w:val="24"/>
        </w:rPr>
      </w:pPr>
    </w:p>
    <w:p w:rsidR="00F53A57" w:rsidRDefault="00F53A57" w:rsidP="00F53A57">
      <w:pPr>
        <w:spacing w:line="100" w:lineRule="atLeast"/>
        <w:ind w:left="5387" w:right="281"/>
        <w:rPr>
          <w:rFonts w:ascii="Times New Roman" w:hAnsi="Times New Roman" w:cs="Times New Roman"/>
          <w:sz w:val="24"/>
          <w:szCs w:val="24"/>
        </w:rPr>
      </w:pPr>
    </w:p>
    <w:p w:rsidR="00F53A57" w:rsidRDefault="00F53A57" w:rsidP="00F53A57">
      <w:pPr>
        <w:spacing w:line="100" w:lineRule="atLeast"/>
        <w:ind w:left="5387" w:right="281"/>
        <w:rPr>
          <w:rFonts w:ascii="Times New Roman" w:hAnsi="Times New Roman" w:cs="Times New Roman"/>
          <w:sz w:val="24"/>
          <w:szCs w:val="24"/>
        </w:rPr>
      </w:pPr>
    </w:p>
    <w:p w:rsidR="00F53A57" w:rsidRDefault="00F53A57" w:rsidP="00F53A57">
      <w:pPr>
        <w:tabs>
          <w:tab w:val="left" w:pos="8931"/>
        </w:tabs>
        <w:spacing w:after="0" w:line="240" w:lineRule="auto"/>
        <w:ind w:left="5664" w:right="84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A57" w:rsidRDefault="00F53A57" w:rsidP="00F53A57">
      <w:pPr>
        <w:tabs>
          <w:tab w:val="left" w:pos="8931"/>
        </w:tabs>
        <w:spacing w:after="0" w:line="240" w:lineRule="auto"/>
        <w:ind w:left="5664" w:right="84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A57" w:rsidRDefault="00F53A57" w:rsidP="00F53A57">
      <w:pPr>
        <w:tabs>
          <w:tab w:val="left" w:pos="8931"/>
        </w:tabs>
        <w:spacing w:after="0" w:line="240" w:lineRule="auto"/>
        <w:ind w:left="5664" w:right="84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A57" w:rsidRDefault="00F53A57" w:rsidP="00F53A57">
      <w:pPr>
        <w:tabs>
          <w:tab w:val="left" w:pos="8931"/>
        </w:tabs>
        <w:spacing w:after="0" w:line="240" w:lineRule="auto"/>
        <w:ind w:left="5664" w:right="84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A57" w:rsidRDefault="00F53A57" w:rsidP="00F53A57">
      <w:pPr>
        <w:tabs>
          <w:tab w:val="left" w:pos="8931"/>
        </w:tabs>
        <w:spacing w:after="0" w:line="240" w:lineRule="auto"/>
        <w:ind w:left="5245" w:right="84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6F9" w:rsidRDefault="005846F9" w:rsidP="00F53A57">
      <w:pPr>
        <w:tabs>
          <w:tab w:val="left" w:pos="8931"/>
        </w:tabs>
        <w:spacing w:after="0" w:line="240" w:lineRule="auto"/>
        <w:ind w:left="5245" w:right="84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A57" w:rsidRDefault="00F53A57" w:rsidP="00F53A57">
      <w:pPr>
        <w:tabs>
          <w:tab w:val="left" w:pos="8931"/>
        </w:tabs>
        <w:spacing w:after="0" w:line="240" w:lineRule="auto"/>
        <w:ind w:left="5245" w:right="84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A57" w:rsidRDefault="00F53A57" w:rsidP="00F53A57">
      <w:pPr>
        <w:tabs>
          <w:tab w:val="left" w:pos="8931"/>
        </w:tabs>
        <w:spacing w:after="0" w:line="240" w:lineRule="auto"/>
        <w:ind w:left="5387" w:right="84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Заявителю:</w:t>
      </w:r>
    </w:p>
    <w:p w:rsidR="00F53A57" w:rsidRDefault="005846F9" w:rsidP="00F53A57">
      <w:pPr>
        <w:tabs>
          <w:tab w:val="left" w:pos="9214"/>
        </w:tabs>
        <w:spacing w:after="0" w:line="240" w:lineRule="auto"/>
        <w:ind w:left="5387" w:righ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«Центральное агентство недвижимости»</w:t>
      </w:r>
    </w:p>
    <w:p w:rsidR="00F53A57" w:rsidRDefault="00F53A57" w:rsidP="00F53A57">
      <w:pPr>
        <w:tabs>
          <w:tab w:val="left" w:pos="9214"/>
        </w:tabs>
        <w:spacing w:after="0" w:line="240" w:lineRule="auto"/>
        <w:ind w:left="5103" w:right="70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" w:type="dxa"/>
        <w:tblLayout w:type="fixed"/>
        <w:tblLook w:val="04A0"/>
      </w:tblPr>
      <w:tblGrid>
        <w:gridCol w:w="319"/>
        <w:gridCol w:w="236"/>
        <w:gridCol w:w="299"/>
      </w:tblGrid>
      <w:tr w:rsidR="00F53A57" w:rsidTr="00F53A57">
        <w:trPr>
          <w:trHeight w:hRule="exact" w:val="80"/>
        </w:trPr>
        <w:tc>
          <w:tcPr>
            <w:tcW w:w="319" w:type="dxa"/>
          </w:tcPr>
          <w:p w:rsidR="00F53A57" w:rsidRDefault="00F53A57" w:rsidP="00F53A57">
            <w:pPr>
              <w:pStyle w:val="a5"/>
              <w:snapToGrid w:val="0"/>
              <w:spacing w:line="276" w:lineRule="auto"/>
              <w:ind w:right="281" w:firstLine="709"/>
              <w:jc w:val="left"/>
              <w:rPr>
                <w:rFonts w:cs="Times New Roman"/>
                <w:sz w:val="24"/>
                <w:lang w:val="ru-RU"/>
              </w:rPr>
            </w:pPr>
          </w:p>
        </w:tc>
        <w:tc>
          <w:tcPr>
            <w:tcW w:w="236" w:type="dxa"/>
          </w:tcPr>
          <w:p w:rsidR="00F53A57" w:rsidRDefault="00F53A57" w:rsidP="00F53A57">
            <w:pPr>
              <w:snapToGrid w:val="0"/>
              <w:ind w:right="28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hideMark/>
          </w:tcPr>
          <w:p w:rsidR="00F53A57" w:rsidRDefault="00F53A57" w:rsidP="00F53A57">
            <w:pPr>
              <w:ind w:left="5812" w:right="28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</w:p>
          <w:tbl>
            <w:tblPr>
              <w:tblW w:w="1095" w:type="dxa"/>
              <w:tblLayout w:type="fixed"/>
              <w:tblLook w:val="04A0"/>
            </w:tblPr>
            <w:tblGrid>
              <w:gridCol w:w="295"/>
              <w:gridCol w:w="236"/>
              <w:gridCol w:w="282"/>
              <w:gridCol w:w="282"/>
            </w:tblGrid>
            <w:tr w:rsidR="00F53A57" w:rsidTr="00F53A57">
              <w:trPr>
                <w:trHeight w:hRule="exact" w:val="11154"/>
              </w:trPr>
              <w:tc>
                <w:tcPr>
                  <w:tcW w:w="355" w:type="dxa"/>
                </w:tcPr>
                <w:p w:rsidR="00F53A57" w:rsidRDefault="00F53A57" w:rsidP="00F53A57">
                  <w:pPr>
                    <w:pStyle w:val="a5"/>
                    <w:spacing w:line="276" w:lineRule="auto"/>
                    <w:ind w:right="281" w:firstLine="709"/>
                    <w:rPr>
                      <w:rFonts w:cs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78" w:type="dxa"/>
                </w:tcPr>
                <w:p w:rsidR="00F53A57" w:rsidRDefault="00F53A57" w:rsidP="00F53A57">
                  <w:pPr>
                    <w:ind w:right="281"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</w:tcPr>
                <w:p w:rsidR="00F53A57" w:rsidRDefault="00F53A57" w:rsidP="00F53A57">
                  <w:pPr>
                    <w:tabs>
                      <w:tab w:val="left" w:pos="0"/>
                    </w:tabs>
                    <w:snapToGrid w:val="0"/>
                    <w:ind w:right="28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учреждения «Якутская городская клиническая больница» ГО «Город Якутск»</w:t>
                  </w:r>
                </w:p>
                <w:p w:rsidR="00F53A57" w:rsidRDefault="00F53A57" w:rsidP="00F53A57">
                  <w:pPr>
                    <w:tabs>
                      <w:tab w:val="left" w:pos="0"/>
                    </w:tabs>
                    <w:snapToGrid w:val="0"/>
                    <w:ind w:right="28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Н.Н. Васильеву</w:t>
                  </w:r>
                </w:p>
                <w:p w:rsidR="00F53A57" w:rsidRDefault="00F53A57" w:rsidP="00F53A57">
                  <w:pPr>
                    <w:tabs>
                      <w:tab w:val="left" w:pos="0"/>
                    </w:tabs>
                    <w:snapToGrid w:val="0"/>
                    <w:ind w:right="28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677005,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кутск, ул.Стадухина,81</w:t>
                  </w:r>
                </w:p>
                <w:p w:rsidR="00F53A57" w:rsidRDefault="00F53A57" w:rsidP="00F53A57">
                  <w:pPr>
                    <w:tabs>
                      <w:tab w:val="left" w:pos="0"/>
                    </w:tabs>
                    <w:snapToGrid w:val="0"/>
                    <w:ind w:right="28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3A57" w:rsidRDefault="00F53A57" w:rsidP="00F53A57">
                  <w:pPr>
                    <w:tabs>
                      <w:tab w:val="left" w:pos="0"/>
                    </w:tabs>
                    <w:snapToGrid w:val="0"/>
                    <w:ind w:right="28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Председателю аукционной комиссии</w:t>
                  </w:r>
                </w:p>
                <w:p w:rsidR="00F53A57" w:rsidRDefault="00F53A57" w:rsidP="00F53A57">
                  <w:pPr>
                    <w:tabs>
                      <w:tab w:val="left" w:pos="0"/>
                    </w:tabs>
                    <w:snapToGrid w:val="0"/>
                    <w:ind w:right="28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учреждения «Якутская городская клиническая больница» ГО «Город Якутск»</w:t>
                  </w:r>
                </w:p>
                <w:p w:rsidR="00F53A57" w:rsidRDefault="00F53A57" w:rsidP="00F53A57">
                  <w:pPr>
                    <w:tabs>
                      <w:tab w:val="left" w:pos="0"/>
                    </w:tabs>
                    <w:snapToGrid w:val="0"/>
                    <w:ind w:right="28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Н.Н. Васильеву</w:t>
                  </w:r>
                </w:p>
                <w:p w:rsidR="00F53A57" w:rsidRDefault="00F53A57" w:rsidP="00F53A57">
                  <w:pPr>
                    <w:tabs>
                      <w:tab w:val="left" w:pos="0"/>
                    </w:tabs>
                    <w:snapToGrid w:val="0"/>
                    <w:ind w:right="28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677005,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кутск, ул.Стадухина,81</w:t>
                  </w:r>
                </w:p>
                <w:p w:rsidR="00F53A57" w:rsidRDefault="00F53A57" w:rsidP="00F53A57">
                  <w:pPr>
                    <w:tabs>
                      <w:tab w:val="left" w:pos="0"/>
                    </w:tabs>
                    <w:snapToGrid w:val="0"/>
                    <w:ind w:right="28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</w:tcPr>
                <w:p w:rsidR="00F53A57" w:rsidRDefault="00F53A57" w:rsidP="00F53A57">
                  <w:pPr>
                    <w:snapToGrid w:val="0"/>
                    <w:ind w:right="281" w:firstLine="709"/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53A57" w:rsidRDefault="00F53A57" w:rsidP="00F53A57">
            <w:pPr>
              <w:tabs>
                <w:tab w:val="left" w:pos="0"/>
              </w:tabs>
              <w:snapToGrid w:val="0"/>
              <w:ind w:right="28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A57" w:rsidRDefault="00F53A57" w:rsidP="00F53A57">
      <w:pPr>
        <w:tabs>
          <w:tab w:val="left" w:pos="9639"/>
        </w:tabs>
        <w:ind w:left="-567" w:right="141" w:firstLine="709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Уведомление о возврате жалобы</w:t>
      </w:r>
    </w:p>
    <w:p w:rsidR="00F53A57" w:rsidRDefault="00F53A57" w:rsidP="00F53A57">
      <w:pPr>
        <w:tabs>
          <w:tab w:val="left" w:pos="9639"/>
        </w:tabs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Федеральной антимонопольной службы по Республике Саха (Якутия), рассмотрев жалоб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E61E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E61ED">
        <w:rPr>
          <w:rFonts w:ascii="Times New Roman" w:hAnsi="Times New Roman" w:cs="Times New Roman"/>
          <w:sz w:val="24"/>
          <w:szCs w:val="24"/>
        </w:rPr>
        <w:t xml:space="preserve"> «Центральное агентство недвижимости» </w:t>
      </w:r>
      <w:r>
        <w:rPr>
          <w:rFonts w:ascii="Times New Roman" w:hAnsi="Times New Roman" w:cs="Times New Roman"/>
          <w:sz w:val="24"/>
          <w:szCs w:val="24"/>
        </w:rPr>
        <w:t>(далее также – заявитель) на действия аукционной комиссии Государственного комитета Республики Саха (Якутия) по размещению государственных заказов при проведении электронного аукциона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0C7020" w:rsidRPr="000C7020">
        <w:rPr>
          <w:rFonts w:ascii="Times New Roman" w:hAnsi="Times New Roman" w:cs="Times New Roman"/>
          <w:snapToGrid w:val="0"/>
          <w:sz w:val="24"/>
          <w:szCs w:val="24"/>
        </w:rPr>
        <w:fldChar w:fldCharType="begin"/>
      </w:r>
      <w:r w:rsidR="000C7020" w:rsidRPr="000C7020">
        <w:rPr>
          <w:rFonts w:ascii="Times New Roman" w:hAnsi="Times New Roman" w:cs="Times New Roman"/>
          <w:snapToGrid w:val="0"/>
          <w:sz w:val="24"/>
          <w:szCs w:val="24"/>
        </w:rPr>
        <w:instrText xml:space="preserve"> LINK Excel.SheetMacroEnabled.12 "C:\\Users\\vinokurov.ea\\Desktop\\АРМ Комиссия\\АРМ Комиссия.xlsm" Буфер!R2C7 \a \t  \* MERGEFORMAT </w:instrText>
      </w:r>
      <w:r w:rsidR="000C7020" w:rsidRPr="000C7020">
        <w:rPr>
          <w:rFonts w:ascii="Times New Roman" w:hAnsi="Times New Roman" w:cs="Times New Roman"/>
          <w:snapToGrid w:val="0"/>
          <w:sz w:val="24"/>
          <w:szCs w:val="24"/>
        </w:rPr>
        <w:fldChar w:fldCharType="separate"/>
      </w:r>
      <w:r w:rsidR="000C7020">
        <w:rPr>
          <w:rFonts w:ascii="Times New Roman" w:hAnsi="Times New Roman" w:cs="Times New Roman"/>
          <w:sz w:val="24"/>
          <w:szCs w:val="24"/>
        </w:rPr>
        <w:t>о</w:t>
      </w:r>
      <w:r w:rsidR="000C7020" w:rsidRPr="000C7020">
        <w:rPr>
          <w:rFonts w:ascii="Times New Roman" w:hAnsi="Times New Roman" w:cs="Times New Roman"/>
          <w:sz w:val="24"/>
          <w:szCs w:val="24"/>
        </w:rPr>
        <w:t>казание услуг по оформлению технического плана по объекту:</w:t>
      </w:r>
      <w:r w:rsidR="00AE09B9">
        <w:rPr>
          <w:rFonts w:ascii="Times New Roman" w:hAnsi="Times New Roman" w:cs="Times New Roman"/>
          <w:sz w:val="24"/>
          <w:szCs w:val="24"/>
        </w:rPr>
        <w:t xml:space="preserve"> </w:t>
      </w:r>
      <w:r w:rsidR="000C7020" w:rsidRPr="000C7020">
        <w:rPr>
          <w:rFonts w:ascii="Times New Roman" w:hAnsi="Times New Roman" w:cs="Times New Roman"/>
          <w:sz w:val="24"/>
          <w:szCs w:val="24"/>
        </w:rPr>
        <w:t xml:space="preserve">Реконструкция сетей теплоснабжения п. Чульман </w:t>
      </w:r>
      <w:proofErr w:type="spellStart"/>
      <w:r w:rsidR="000C7020" w:rsidRPr="000C7020">
        <w:rPr>
          <w:rFonts w:ascii="Times New Roman" w:hAnsi="Times New Roman" w:cs="Times New Roman"/>
          <w:sz w:val="24"/>
          <w:szCs w:val="24"/>
        </w:rPr>
        <w:t>Нерюнгринского</w:t>
      </w:r>
      <w:proofErr w:type="spellEnd"/>
      <w:r w:rsidR="000C7020" w:rsidRPr="000C702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C7020" w:rsidRPr="000C7020">
        <w:rPr>
          <w:rFonts w:ascii="Times New Roman" w:hAnsi="Times New Roman" w:cs="Times New Roman"/>
          <w:snapToGrid w:val="0"/>
          <w:sz w:val="24"/>
          <w:szCs w:val="24"/>
        </w:rPr>
        <w:fldChar w:fldCharType="end"/>
      </w:r>
      <w:r w:rsidR="000C7020" w:rsidRPr="00616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6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(извещение </w:t>
      </w:r>
      <w:r w:rsidR="009B3E81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9B3E81" w:rsidRPr="009B3E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0116200007914011644</w:t>
      </w:r>
      <w:r w:rsidR="000C702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C70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702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0C7020">
        <w:rPr>
          <w:rFonts w:ascii="Times New Roman" w:hAnsi="Times New Roman" w:cs="Times New Roman"/>
          <w:sz w:val="24"/>
          <w:szCs w:val="24"/>
        </w:rPr>
        <w:t>. №6657 от 26.</w:t>
      </w:r>
      <w:r>
        <w:rPr>
          <w:rFonts w:ascii="Times New Roman" w:hAnsi="Times New Roman" w:cs="Times New Roman"/>
          <w:sz w:val="24"/>
          <w:szCs w:val="24"/>
        </w:rPr>
        <w:t>11.2014 года), сообщает следующее.</w:t>
      </w:r>
    </w:p>
    <w:p w:rsidR="00F53A57" w:rsidRPr="00091297" w:rsidRDefault="00F53A57" w:rsidP="00F53A57">
      <w:pPr>
        <w:tabs>
          <w:tab w:val="left" w:pos="9639"/>
        </w:tabs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8 статьи 105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жалоба на действия (бездействие) </w:t>
      </w:r>
      <w:r w:rsidRPr="00091297">
        <w:rPr>
          <w:rFonts w:ascii="Times New Roman" w:hAnsi="Times New Roman" w:cs="Times New Roman"/>
          <w:sz w:val="24"/>
          <w:szCs w:val="24"/>
        </w:rPr>
        <w:t>заказчика, уполномоченного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учреждения, специализированной организации, </w:t>
      </w:r>
      <w:r>
        <w:rPr>
          <w:rFonts w:ascii="Times New Roman" w:hAnsi="Times New Roman" w:cs="Times New Roman"/>
          <w:i/>
          <w:sz w:val="24"/>
          <w:szCs w:val="24"/>
        </w:rPr>
        <w:t>комиссии 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>, ее членов, должностного лица контрактной службы, контрактного управляющего, оператора электронной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площадки (далее также - жалоба) должна содержать наименование, фирменное 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наличии), </w:t>
      </w:r>
      <w:r w:rsidRPr="00091297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(для юридического лица), </w:t>
      </w:r>
      <w:r w:rsidRPr="00091297">
        <w:rPr>
          <w:rFonts w:ascii="Times New Roman" w:hAnsi="Times New Roman" w:cs="Times New Roman"/>
          <w:sz w:val="24"/>
          <w:szCs w:val="24"/>
        </w:rPr>
        <w:t>фамилию, имя, отчество (при наличии), место жительства (для физического лица), почтовый адрес, номер контактного телефона лица, действия (бездействие) которого обжалуются (при наличии такой информации).</w:t>
      </w:r>
      <w:proofErr w:type="gramEnd"/>
    </w:p>
    <w:p w:rsidR="00F53A57" w:rsidRDefault="00F53A57" w:rsidP="00F53A57">
      <w:pPr>
        <w:tabs>
          <w:tab w:val="left" w:pos="9639"/>
        </w:tabs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дела установлено, что в жалобе, поданной заявителем, отсутствуют сведения </w:t>
      </w:r>
      <w:r>
        <w:rPr>
          <w:rFonts w:ascii="Times New Roman" w:hAnsi="Times New Roman" w:cs="Times New Roman"/>
          <w:i/>
          <w:sz w:val="24"/>
          <w:szCs w:val="24"/>
        </w:rPr>
        <w:t>о  фамилиях, именах, отчествах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членов комиссии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A57" w:rsidRDefault="00F53A57" w:rsidP="00F53A57">
      <w:pPr>
        <w:tabs>
          <w:tab w:val="left" w:pos="9639"/>
        </w:tabs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1 части 11 статьи 105 Закона о контрактной системе жалоба </w:t>
      </w:r>
      <w:r>
        <w:rPr>
          <w:rFonts w:ascii="Times New Roman" w:hAnsi="Times New Roman" w:cs="Times New Roman"/>
          <w:i/>
          <w:sz w:val="24"/>
          <w:szCs w:val="24"/>
        </w:rPr>
        <w:t>возвращается</w:t>
      </w:r>
      <w:r>
        <w:rPr>
          <w:rFonts w:ascii="Times New Roman" w:hAnsi="Times New Roman" w:cs="Times New Roman"/>
          <w:sz w:val="24"/>
          <w:szCs w:val="24"/>
        </w:rPr>
        <w:t xml:space="preserve"> подавшему ее лицу без рассмотрения в случае, если </w:t>
      </w:r>
      <w:r>
        <w:rPr>
          <w:rFonts w:ascii="Times New Roman" w:hAnsi="Times New Roman" w:cs="Times New Roman"/>
          <w:i/>
          <w:sz w:val="24"/>
          <w:szCs w:val="24"/>
        </w:rPr>
        <w:t>жалоба не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>, установленным настоящей статьей.</w:t>
      </w:r>
    </w:p>
    <w:p w:rsidR="00F53A57" w:rsidRDefault="00F53A57" w:rsidP="00F53A57">
      <w:pPr>
        <w:tabs>
          <w:tab w:val="left" w:pos="9639"/>
        </w:tabs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пунктом 1 части 11 статьи 105 Закона о контрактной системе, Управление Федеральной антимонопольной службы по Республике Саха (Якутия) возвращает жалоб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AE09B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E09B9">
        <w:rPr>
          <w:rFonts w:ascii="Times New Roman" w:hAnsi="Times New Roman" w:cs="Times New Roman"/>
          <w:sz w:val="24"/>
          <w:szCs w:val="24"/>
        </w:rPr>
        <w:t xml:space="preserve"> «Центральное агентство недвижимости» </w:t>
      </w:r>
      <w:r>
        <w:rPr>
          <w:rFonts w:ascii="Times New Roman" w:hAnsi="Times New Roman" w:cs="Times New Roman"/>
          <w:sz w:val="24"/>
          <w:szCs w:val="24"/>
        </w:rPr>
        <w:t>в связи с тем, что она подана с нарушением требований, установленных настоящей статьей.</w:t>
      </w:r>
    </w:p>
    <w:p w:rsidR="00F53A57" w:rsidRDefault="00F53A57" w:rsidP="00F53A5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53A57" w:rsidRDefault="00F53A57" w:rsidP="00F53A57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A57" w:rsidRPr="000F79A7" w:rsidRDefault="00F53A57" w:rsidP="00F53A57">
      <w:pPr>
        <w:tabs>
          <w:tab w:val="left" w:pos="7830"/>
        </w:tabs>
        <w:spacing w:after="0" w:line="240" w:lineRule="auto"/>
        <w:ind w:left="-142" w:right="281"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Руководитель                                                                          Ю.А. Игнатьев</w:t>
      </w:r>
    </w:p>
    <w:p w:rsidR="00F53A57" w:rsidRDefault="00F53A57" w:rsidP="00F53A57"/>
    <w:p w:rsidR="00F53A57" w:rsidRDefault="00F53A57"/>
    <w:sectPr w:rsidR="00F53A57" w:rsidSect="00F53A57">
      <w:footerReference w:type="default" r:id="rId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20" w:rsidRDefault="000C7020" w:rsidP="00F53A57">
    <w:pPr>
      <w:pStyle w:val="a3"/>
      <w:ind w:left="-567"/>
      <w:rPr>
        <w:i/>
        <w:sz w:val="20"/>
        <w:szCs w:val="20"/>
        <w:lang w:val="ru-RU"/>
      </w:rPr>
    </w:pPr>
    <w:r>
      <w:rPr>
        <w:i/>
        <w:sz w:val="20"/>
        <w:szCs w:val="20"/>
        <w:lang w:val="ru-RU"/>
      </w:rPr>
      <w:t>И</w:t>
    </w:r>
    <w:proofErr w:type="spellStart"/>
    <w:r>
      <w:rPr>
        <w:i/>
        <w:sz w:val="20"/>
        <w:szCs w:val="20"/>
      </w:rPr>
      <w:t>сп</w:t>
    </w:r>
    <w:proofErr w:type="spellEnd"/>
    <w:r>
      <w:rPr>
        <w:i/>
        <w:sz w:val="20"/>
        <w:szCs w:val="20"/>
        <w:lang w:val="ru-RU"/>
      </w:rPr>
      <w:t>.: Данилова В.А.</w:t>
    </w:r>
  </w:p>
  <w:p w:rsidR="000C7020" w:rsidRPr="0037282F" w:rsidRDefault="000C7020" w:rsidP="00F53A57">
    <w:pPr>
      <w:pStyle w:val="a3"/>
      <w:ind w:left="-567"/>
      <w:rPr>
        <w:lang w:val="ru-RU"/>
      </w:rPr>
    </w:pPr>
    <w:r>
      <w:rPr>
        <w:i/>
        <w:sz w:val="20"/>
        <w:szCs w:val="20"/>
      </w:rPr>
      <w:t>(4112) 39-35-6</w:t>
    </w:r>
    <w:r>
      <w:rPr>
        <w:i/>
        <w:sz w:val="20"/>
        <w:szCs w:val="20"/>
        <w:lang w:val="ru-RU"/>
      </w:rPr>
      <w:t>3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A57"/>
    <w:rsid w:val="000C7020"/>
    <w:rsid w:val="005846F9"/>
    <w:rsid w:val="007E61ED"/>
    <w:rsid w:val="009B3E81"/>
    <w:rsid w:val="00AE09B9"/>
    <w:rsid w:val="00F5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3A5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53A57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Body Text"/>
    <w:basedOn w:val="a"/>
    <w:link w:val="a6"/>
    <w:unhideWhenUsed/>
    <w:rsid w:val="00F53A57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b/>
      <w:bCs/>
      <w:color w:val="000000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53A57"/>
    <w:rPr>
      <w:rFonts w:ascii="Times New Roman" w:eastAsia="Arial Unicode MS" w:hAnsi="Times New Roman" w:cs="Tahoma"/>
      <w:b/>
      <w:bCs/>
      <w:color w:val="000000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Практиканка 4</dc:creator>
  <cp:keywords/>
  <dc:description/>
  <cp:lastModifiedBy>Практиканка 4</cp:lastModifiedBy>
  <cp:revision>2</cp:revision>
  <dcterms:created xsi:type="dcterms:W3CDTF">2014-11-28T00:51:00Z</dcterms:created>
  <dcterms:modified xsi:type="dcterms:W3CDTF">2014-11-28T00:59:00Z</dcterms:modified>
</cp:coreProperties>
</file>