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C5B48" w14:textId="74DC32C6" w:rsidR="00763987" w:rsidRPr="00763987" w:rsidRDefault="00763987" w:rsidP="00763987">
      <w:pPr>
        <w:spacing w:after="0" w:line="252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639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Итоги работы Якутского УФАС России за 2021 год по основным показателям</w:t>
      </w:r>
    </w:p>
    <w:p w14:paraId="5B465C9C" w14:textId="77777777" w:rsidR="00763987" w:rsidRDefault="00763987" w:rsidP="00763987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42778386"/>
    </w:p>
    <w:p w14:paraId="110A30E8" w14:textId="43402E4A" w:rsidR="00763987" w:rsidRPr="00763987" w:rsidRDefault="00763987" w:rsidP="00641119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98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Федеральной антимонопольный службы по Республике Саха (Якутия) в рамках осуществления полномочий территориального органа ФАС России в 2021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6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рассмотрено </w:t>
      </w:r>
      <w:r w:rsidR="00A57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2681</w:t>
      </w:r>
      <w:r w:rsidRPr="0076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 (жалоба, заявление, материалы</w:t>
      </w:r>
      <w:r w:rsidR="00A57B1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уведомление</w:t>
      </w:r>
      <w:r w:rsidRPr="0076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граждан, юридических лиц, органов власти и местного самоуправления, из них: </w:t>
      </w:r>
      <w:bookmarkEnd w:id="0"/>
    </w:p>
    <w:p w14:paraId="4F02EC8D" w14:textId="77777777" w:rsidR="00763987" w:rsidRPr="00763987" w:rsidRDefault="00763987" w:rsidP="00641119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9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E39C6DF" w14:textId="2D327329" w:rsidR="00763987" w:rsidRPr="00763987" w:rsidRDefault="00763987" w:rsidP="00641119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9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76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осуществления контроля за соблюдением положений Федерального закона от 26.07.2006 № 135-ФЗ «О защите конкуренции» и Федерального закона от 17.08.1995 № 147-ФЗ «О естественных монополиях» Управлением Федеральной антимонопольный службы по Республике Саха (Якутия) в 2021 год</w:t>
      </w:r>
      <w:r w:rsidR="00DE44B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639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98F3732" w14:textId="2C671618" w:rsidR="00763987" w:rsidRPr="00763987" w:rsidRDefault="00763987" w:rsidP="00641119">
      <w:pPr>
        <w:numPr>
          <w:ilvl w:val="0"/>
          <w:numId w:val="1"/>
        </w:numPr>
        <w:spacing w:after="0" w:line="252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</w:t>
      </w:r>
      <w:r w:rsidR="00DE44B1" w:rsidRPr="00DE4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98</w:t>
      </w:r>
      <w:r w:rsidRPr="0076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DE44B1">
        <w:rPr>
          <w:rFonts w:ascii="Times New Roman" w:eastAsia="Times New Roman" w:hAnsi="Times New Roman" w:cs="Times New Roman"/>
          <w:sz w:val="28"/>
          <w:szCs w:val="28"/>
          <w:lang w:eastAsia="ru-RU"/>
        </w:rPr>
        <w:t>й, указывающих на</w:t>
      </w:r>
      <w:r w:rsidRPr="0076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</w:t>
      </w:r>
      <w:r w:rsidR="00DE44B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антимонопольного законодательства;</w:t>
      </w:r>
    </w:p>
    <w:p w14:paraId="16455F5E" w14:textId="535438E7" w:rsidR="00763987" w:rsidRPr="00763987" w:rsidRDefault="00763987" w:rsidP="00641119">
      <w:pPr>
        <w:numPr>
          <w:ilvl w:val="0"/>
          <w:numId w:val="1"/>
        </w:numPr>
        <w:spacing w:after="0" w:line="252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Возбуждено </w:t>
      </w:r>
      <w:r w:rsidRPr="007639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DE4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76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 о нарушении антимонопольного законодательства</w:t>
      </w:r>
      <w:r w:rsidR="00DE44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E6869B1" w14:textId="6CD17162" w:rsidR="00763987" w:rsidRPr="00763987" w:rsidRDefault="00763987" w:rsidP="00641119">
      <w:pPr>
        <w:numPr>
          <w:ilvl w:val="0"/>
          <w:numId w:val="1"/>
        </w:numPr>
        <w:spacing w:after="0" w:line="252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</w:t>
      </w:r>
      <w:r w:rsidR="00DE44B1" w:rsidRPr="00DE4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76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о наличии нарушения антимонопольного законодательства;</w:t>
      </w:r>
    </w:p>
    <w:p w14:paraId="06ABB59F" w14:textId="6DE555AB" w:rsidR="00763987" w:rsidRPr="00763987" w:rsidRDefault="00763987" w:rsidP="00641119">
      <w:pPr>
        <w:numPr>
          <w:ilvl w:val="0"/>
          <w:numId w:val="1"/>
        </w:numPr>
        <w:spacing w:after="0" w:line="252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Выдано </w:t>
      </w:r>
      <w:r w:rsidR="00DE4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76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предупреждений о прекращении действий (бездействия), которые содержат признаки нарушения антимонопольного законодательства.</w:t>
      </w:r>
    </w:p>
    <w:p w14:paraId="0463543B" w14:textId="77777777" w:rsidR="00763987" w:rsidRPr="00763987" w:rsidRDefault="00763987" w:rsidP="00641119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9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1A30923" w14:textId="7469B955" w:rsidR="00763987" w:rsidRPr="00763987" w:rsidRDefault="00763987" w:rsidP="00641119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9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76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предусмотренном статьей 18.1 Федерального закона от 26.07.2006 № 135-ФЗ «О защите конкуренции», в Якутское УФАС России поступил</w:t>
      </w:r>
      <w:r w:rsidR="00DE44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6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261</w:t>
      </w:r>
      <w:r w:rsidRPr="0076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</w:t>
      </w:r>
      <w:r w:rsidR="00DE44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6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нарушение процедуры торгов и порядка заключения договоров, из них:</w:t>
      </w:r>
    </w:p>
    <w:p w14:paraId="16A27C47" w14:textId="0CC961D2" w:rsidR="00763987" w:rsidRPr="00763987" w:rsidRDefault="00DE44B1" w:rsidP="00641119">
      <w:pPr>
        <w:numPr>
          <w:ilvl w:val="0"/>
          <w:numId w:val="2"/>
        </w:numPr>
        <w:spacing w:after="0" w:line="252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214</w:t>
      </w:r>
      <w:r w:rsidR="00763987" w:rsidRPr="0076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 на действия (бездействие) заказчика, комиссии по осуществлению закупок, оператора электронной площадки при закупке товаров, работ, услуг, если такие действия (бездействие) нарушают права и законные интересы участника закупки в рамках Федерального закона от 18.07.2011 № 223-ФЗ «О закупках товаров, работ, услуг отдельными видами юридических лиц»</w:t>
      </w:r>
    </w:p>
    <w:p w14:paraId="72866D4E" w14:textId="38B57A9F" w:rsidR="00763987" w:rsidRPr="00763987" w:rsidRDefault="00DE44B1" w:rsidP="00641119">
      <w:pPr>
        <w:numPr>
          <w:ilvl w:val="0"/>
          <w:numId w:val="2"/>
        </w:numPr>
        <w:spacing w:after="0" w:line="252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47</w:t>
      </w:r>
      <w:r w:rsidR="00763987" w:rsidRPr="0076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 на действия организаторов торгов в случае, если такие торги являются обязательными в соответствии с законодательством Российской Федерации (Земельный Кодекс Российской Федерации, продажа государственного и муниципального имущества, реализация имущества должников в порядке, установленном Федеральным законом от 02.10.2007 № 229-ФЗ «Об исполнительном производстве», Федеральным законом от 16.07.1998 № 102-ФЗ «Об ипотеке (залоге недвижимости)», реализация имущества должников в порядке, установленном Федеральным законом от 26.10.2002 № 127-ФЗ «О несостоятельности (банкротстве)» и иное).</w:t>
      </w:r>
    </w:p>
    <w:p w14:paraId="2A1C4E69" w14:textId="77777777" w:rsidR="00763987" w:rsidRPr="00763987" w:rsidRDefault="00763987" w:rsidP="00641119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поступивших жалоб было принято к рассмотрению </w:t>
      </w:r>
      <w:r w:rsidRPr="007639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108</w:t>
      </w:r>
      <w:r w:rsidRPr="0076398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14:paraId="1AF8DC67" w14:textId="7211E0C1" w:rsidR="00763987" w:rsidRPr="00763987" w:rsidRDefault="00763987" w:rsidP="00641119">
      <w:pPr>
        <w:numPr>
          <w:ilvl w:val="0"/>
          <w:numId w:val="3"/>
        </w:numPr>
        <w:spacing w:after="0" w:line="252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Признано обоснованными </w:t>
      </w:r>
      <w:r w:rsidR="00DE44B1" w:rsidRPr="00DE4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</w:t>
      </w:r>
      <w:r w:rsidRPr="0076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</w:t>
      </w:r>
      <w:r w:rsidR="00DE44B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639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82C0F1E" w14:textId="5BDBEFCF" w:rsidR="00763987" w:rsidRPr="00763987" w:rsidRDefault="00763987" w:rsidP="00641119">
      <w:pPr>
        <w:numPr>
          <w:ilvl w:val="0"/>
          <w:numId w:val="3"/>
        </w:numPr>
        <w:spacing w:after="0" w:line="252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9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Признано необоснованными </w:t>
      </w:r>
      <w:r w:rsidR="00DE4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7639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76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жалоб;</w:t>
      </w:r>
    </w:p>
    <w:p w14:paraId="2D4CD87A" w14:textId="51674B32" w:rsidR="00763987" w:rsidRPr="00763987" w:rsidRDefault="00763987" w:rsidP="00641119">
      <w:pPr>
        <w:numPr>
          <w:ilvl w:val="0"/>
          <w:numId w:val="3"/>
        </w:numPr>
        <w:spacing w:after="0" w:line="252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Отозвано заявителем </w:t>
      </w:r>
      <w:r w:rsidRPr="007639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DE4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76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жалоб.</w:t>
      </w:r>
    </w:p>
    <w:p w14:paraId="78198D58" w14:textId="77777777" w:rsidR="00763987" w:rsidRPr="00763987" w:rsidRDefault="00763987" w:rsidP="00641119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9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7505EAF" w14:textId="6DFBA421" w:rsidR="00763987" w:rsidRPr="00763987" w:rsidRDefault="00763987" w:rsidP="00641119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9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76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применения мер административной ответственности за нарушение законодательства в сфере деятельности антимонопольных органов Якутским УФАС России в 2021 год</w:t>
      </w:r>
      <w:r w:rsidR="00DE44B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6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вынесено:</w:t>
      </w:r>
    </w:p>
    <w:p w14:paraId="314D20D7" w14:textId="008BEAFA" w:rsidR="00763987" w:rsidRPr="00763987" w:rsidRDefault="00DE44B1" w:rsidP="00641119">
      <w:pPr>
        <w:numPr>
          <w:ilvl w:val="0"/>
          <w:numId w:val="4"/>
        </w:numPr>
        <w:spacing w:after="0" w:line="252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148</w:t>
      </w:r>
      <w:r w:rsidR="00763987" w:rsidRPr="0076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постановлений по делам </w:t>
      </w:r>
      <w:proofErr w:type="gramStart"/>
      <w:r w:rsidR="00763987" w:rsidRPr="007639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административном правонарушении</w:t>
      </w:r>
      <w:proofErr w:type="gramEnd"/>
      <w:r w:rsidR="00763987" w:rsidRPr="0076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которыми был назначен штраф;</w:t>
      </w:r>
    </w:p>
    <w:p w14:paraId="76F19398" w14:textId="3D6887B8" w:rsidR="00763987" w:rsidRPr="00763987" w:rsidRDefault="00DE44B1" w:rsidP="00641119">
      <w:pPr>
        <w:numPr>
          <w:ilvl w:val="0"/>
          <w:numId w:val="4"/>
        </w:numPr>
        <w:spacing w:after="0" w:line="252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="00763987" w:rsidRPr="0076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63987" w:rsidRPr="0076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форме.</w:t>
      </w:r>
    </w:p>
    <w:p w14:paraId="2CB836F7" w14:textId="40AF0E69" w:rsidR="00763987" w:rsidRPr="00763987" w:rsidRDefault="00763987" w:rsidP="00641119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всех наложенных в </w:t>
      </w:r>
      <w:r w:rsidR="00DE44B1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году</w:t>
      </w:r>
      <w:r w:rsidRPr="0076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штрафов составила </w:t>
      </w:r>
      <w:r w:rsidR="00DE44B1" w:rsidRPr="00DE4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7639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E4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089</w:t>
      </w:r>
      <w:r w:rsidRPr="007639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AE3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76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3221683D" w14:textId="6C9320B2" w:rsidR="00763987" w:rsidRPr="00763987" w:rsidRDefault="00763987" w:rsidP="00641119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всех уплаченных за </w:t>
      </w:r>
      <w:r w:rsidR="00AE30A9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</w:t>
      </w:r>
      <w:r w:rsidRPr="0076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штрафов составила </w:t>
      </w:r>
      <w:r w:rsidR="00AE30A9" w:rsidRPr="00AE3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7639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AE3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419</w:t>
      </w:r>
      <w:r w:rsidRPr="007639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AE3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76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(с учетом штрафов, наложенных в прошлых периодах).</w:t>
      </w:r>
    </w:p>
    <w:p w14:paraId="46A8C314" w14:textId="77777777" w:rsidR="00763987" w:rsidRPr="00763987" w:rsidRDefault="00763987" w:rsidP="00641119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9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388E1B1" w14:textId="74387004" w:rsidR="00763987" w:rsidRDefault="00763987" w:rsidP="00641119">
      <w:pPr>
        <w:tabs>
          <w:tab w:val="left" w:pos="851"/>
        </w:tabs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9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76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0A9" w:rsidRPr="00AE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2021 год </w:t>
      </w:r>
      <w:r w:rsidRPr="00763987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Якутск</w:t>
      </w:r>
      <w:r w:rsidR="00AE30A9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76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 России в рамках контроля закупок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AE30A9" w:rsidRPr="00AE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исполнено </w:t>
      </w:r>
      <w:r w:rsidR="00AE3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2332</w:t>
      </w:r>
      <w:r w:rsidR="00AE30A9" w:rsidRPr="00AE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</w:t>
      </w:r>
      <w:r w:rsidR="00AE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</w:t>
      </w:r>
    </w:p>
    <w:p w14:paraId="1EDB92A4" w14:textId="266E2D43" w:rsidR="00AE30A9" w:rsidRDefault="00AE30A9" w:rsidP="00641119">
      <w:pPr>
        <w:pStyle w:val="a6"/>
        <w:numPr>
          <w:ilvl w:val="0"/>
          <w:numId w:val="6"/>
        </w:numPr>
        <w:tabs>
          <w:tab w:val="left" w:pos="851"/>
        </w:tabs>
        <w:spacing w:after="0"/>
        <w:ind w:left="0" w:firstLine="567"/>
        <w:jc w:val="both"/>
        <w:rPr>
          <w:szCs w:val="28"/>
        </w:rPr>
      </w:pPr>
      <w:r>
        <w:rPr>
          <w:szCs w:val="28"/>
        </w:rPr>
        <w:t xml:space="preserve">рассмотрено </w:t>
      </w:r>
      <w:r w:rsidRPr="00AE30A9">
        <w:rPr>
          <w:b/>
          <w:bCs/>
          <w:szCs w:val="28"/>
        </w:rPr>
        <w:t>1752</w:t>
      </w:r>
      <w:r>
        <w:rPr>
          <w:szCs w:val="28"/>
        </w:rPr>
        <w:t xml:space="preserve"> жалобы, поданных участниками закупок на действия заказчиков/уполномоченных органов/комиссий по осуществлению закупок;</w:t>
      </w:r>
    </w:p>
    <w:p w14:paraId="2DC04CC8" w14:textId="3283A1E5" w:rsidR="00AE30A9" w:rsidRDefault="00AE30A9" w:rsidP="00641119">
      <w:pPr>
        <w:pStyle w:val="a6"/>
        <w:numPr>
          <w:ilvl w:val="0"/>
          <w:numId w:val="6"/>
        </w:numPr>
        <w:tabs>
          <w:tab w:val="left" w:pos="851"/>
        </w:tabs>
        <w:spacing w:after="0"/>
        <w:ind w:left="0" w:firstLine="567"/>
        <w:jc w:val="both"/>
        <w:rPr>
          <w:szCs w:val="28"/>
        </w:rPr>
      </w:pPr>
      <w:r>
        <w:rPr>
          <w:szCs w:val="28"/>
        </w:rPr>
        <w:t xml:space="preserve">проведено </w:t>
      </w:r>
      <w:r w:rsidRPr="00AE30A9">
        <w:rPr>
          <w:b/>
          <w:bCs/>
          <w:szCs w:val="28"/>
        </w:rPr>
        <w:t>119</w:t>
      </w:r>
      <w:r>
        <w:rPr>
          <w:szCs w:val="28"/>
        </w:rPr>
        <w:t xml:space="preserve"> плановых и внеплановых проверок заказчиков; </w:t>
      </w:r>
    </w:p>
    <w:p w14:paraId="7BAED5A2" w14:textId="77777777" w:rsidR="00AE30A9" w:rsidRDefault="00AE30A9" w:rsidP="00641119">
      <w:pPr>
        <w:pStyle w:val="a6"/>
        <w:numPr>
          <w:ilvl w:val="0"/>
          <w:numId w:val="6"/>
        </w:numPr>
        <w:tabs>
          <w:tab w:val="left" w:pos="851"/>
        </w:tabs>
        <w:spacing w:after="0"/>
        <w:ind w:left="0" w:firstLine="567"/>
        <w:jc w:val="both"/>
        <w:rPr>
          <w:szCs w:val="28"/>
        </w:rPr>
      </w:pPr>
      <w:r>
        <w:rPr>
          <w:szCs w:val="28"/>
        </w:rPr>
        <w:t xml:space="preserve">рассмотрено </w:t>
      </w:r>
      <w:r w:rsidRPr="00AE30A9">
        <w:rPr>
          <w:b/>
          <w:bCs/>
          <w:szCs w:val="28"/>
        </w:rPr>
        <w:t>253</w:t>
      </w:r>
      <w:r>
        <w:rPr>
          <w:szCs w:val="28"/>
        </w:rPr>
        <w:t xml:space="preserve"> обращения заказчиков о включении сведений об участниках закупок в реестр недобросовестных поставщиков (подрядчиков, исполнителей) Российской Федерации, </w:t>
      </w:r>
    </w:p>
    <w:p w14:paraId="5C6401E6" w14:textId="77777777" w:rsidR="00AE30A9" w:rsidRDefault="00AE30A9" w:rsidP="00641119">
      <w:pPr>
        <w:pStyle w:val="a6"/>
        <w:numPr>
          <w:ilvl w:val="0"/>
          <w:numId w:val="6"/>
        </w:numPr>
        <w:tabs>
          <w:tab w:val="left" w:pos="851"/>
        </w:tabs>
        <w:spacing w:after="0"/>
        <w:ind w:left="0" w:firstLine="567"/>
        <w:jc w:val="both"/>
        <w:rPr>
          <w:szCs w:val="28"/>
        </w:rPr>
      </w:pPr>
      <w:r>
        <w:rPr>
          <w:szCs w:val="28"/>
        </w:rPr>
        <w:t xml:space="preserve">рассмотрено </w:t>
      </w:r>
      <w:r w:rsidRPr="00AE30A9">
        <w:rPr>
          <w:b/>
          <w:bCs/>
          <w:szCs w:val="28"/>
        </w:rPr>
        <w:t>204</w:t>
      </w:r>
      <w:r>
        <w:rPr>
          <w:szCs w:val="28"/>
        </w:rPr>
        <w:t xml:space="preserve"> уведомления об осуществлении закупки у единственного поставщика (подрядчика, исполнителя), </w:t>
      </w:r>
    </w:p>
    <w:p w14:paraId="698B02D5" w14:textId="03A9BDE8" w:rsidR="00AE30A9" w:rsidRDefault="00AE30A9" w:rsidP="00641119">
      <w:pPr>
        <w:pStyle w:val="a6"/>
        <w:numPr>
          <w:ilvl w:val="0"/>
          <w:numId w:val="6"/>
        </w:numPr>
        <w:tabs>
          <w:tab w:val="left" w:pos="851"/>
        </w:tabs>
        <w:spacing w:after="0"/>
        <w:ind w:left="0" w:firstLine="567"/>
        <w:jc w:val="both"/>
        <w:rPr>
          <w:szCs w:val="28"/>
        </w:rPr>
      </w:pPr>
      <w:r>
        <w:rPr>
          <w:szCs w:val="28"/>
        </w:rPr>
        <w:t xml:space="preserve">согласовано </w:t>
      </w:r>
      <w:r w:rsidRPr="00AE30A9">
        <w:rPr>
          <w:b/>
          <w:bCs/>
          <w:szCs w:val="28"/>
        </w:rPr>
        <w:t>4</w:t>
      </w:r>
      <w:r>
        <w:rPr>
          <w:szCs w:val="28"/>
        </w:rPr>
        <w:t xml:space="preserve"> заключения контракта с единственным поставщиком.</w:t>
      </w:r>
    </w:p>
    <w:p w14:paraId="21E72F98" w14:textId="77777777" w:rsidR="00AE30A9" w:rsidRDefault="00AE30A9" w:rsidP="00AE30A9">
      <w:pPr>
        <w:pStyle w:val="a6"/>
        <w:spacing w:after="0"/>
        <w:ind w:right="282" w:firstLine="709"/>
        <w:jc w:val="both"/>
        <w:rPr>
          <w:szCs w:val="28"/>
        </w:rPr>
      </w:pPr>
    </w:p>
    <w:p w14:paraId="14F8A6A2" w14:textId="573F7A58" w:rsidR="00AE30A9" w:rsidRDefault="00AE30A9" w:rsidP="00AE30A9">
      <w:pPr>
        <w:pStyle w:val="a6"/>
        <w:spacing w:after="0"/>
        <w:ind w:right="282"/>
        <w:jc w:val="center"/>
        <w:rPr>
          <w:sz w:val="24"/>
          <w:szCs w:val="24"/>
        </w:rPr>
      </w:pPr>
      <w:r>
        <w:rPr>
          <w:noProof/>
          <w:szCs w:val="28"/>
        </w:rPr>
        <w:drawing>
          <wp:inline distT="0" distB="0" distL="0" distR="0" wp14:anchorId="54D64CCE" wp14:editId="09E91AF3">
            <wp:extent cx="5867400" cy="23145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48855DCA" w14:textId="77777777" w:rsidR="00641119" w:rsidRDefault="00641119" w:rsidP="00AE30A9">
      <w:pPr>
        <w:pStyle w:val="a6"/>
        <w:spacing w:after="0"/>
        <w:ind w:right="282" w:firstLine="709"/>
        <w:jc w:val="both"/>
        <w:rPr>
          <w:szCs w:val="28"/>
        </w:rPr>
      </w:pPr>
    </w:p>
    <w:p w14:paraId="5E30F812" w14:textId="6DB1F7F5" w:rsidR="00AE30A9" w:rsidRDefault="00AE30A9" w:rsidP="00637794">
      <w:pPr>
        <w:pStyle w:val="a6"/>
        <w:spacing w:after="0"/>
        <w:ind w:right="-1" w:firstLine="567"/>
        <w:jc w:val="both"/>
        <w:rPr>
          <w:szCs w:val="28"/>
        </w:rPr>
      </w:pPr>
      <w:r>
        <w:rPr>
          <w:szCs w:val="28"/>
        </w:rPr>
        <w:t>Из 1752 жалоб, поступивших в Управление в 2021 году, количество обоснованных и частично обоснованных жалоб составило 239</w:t>
      </w:r>
      <w:r w:rsidR="00641119">
        <w:rPr>
          <w:szCs w:val="28"/>
        </w:rPr>
        <w:t>.</w:t>
      </w:r>
    </w:p>
    <w:p w14:paraId="2F81A050" w14:textId="455F30E2" w:rsidR="00AE30A9" w:rsidRDefault="00AE30A9" w:rsidP="00637794">
      <w:pPr>
        <w:pStyle w:val="a6"/>
        <w:spacing w:after="0"/>
        <w:ind w:right="-1" w:firstLine="567"/>
        <w:jc w:val="both"/>
        <w:rPr>
          <w:sz w:val="24"/>
          <w:szCs w:val="24"/>
        </w:rPr>
      </w:pPr>
      <w:r>
        <w:rPr>
          <w:szCs w:val="28"/>
        </w:rPr>
        <w:lastRenderedPageBreak/>
        <w:t>В 202</w:t>
      </w:r>
      <w:r w:rsidR="00641119">
        <w:rPr>
          <w:szCs w:val="28"/>
        </w:rPr>
        <w:t>1</w:t>
      </w:r>
      <w:r>
        <w:rPr>
          <w:szCs w:val="28"/>
        </w:rPr>
        <w:t xml:space="preserve"> году по результатам рассмотрения жалоб антимонопольный орган выявил </w:t>
      </w:r>
      <w:r w:rsidR="00641119">
        <w:rPr>
          <w:szCs w:val="28"/>
        </w:rPr>
        <w:t>351</w:t>
      </w:r>
      <w:r>
        <w:rPr>
          <w:szCs w:val="28"/>
        </w:rPr>
        <w:t xml:space="preserve"> нарушени</w:t>
      </w:r>
      <w:r w:rsidR="00641119">
        <w:rPr>
          <w:szCs w:val="28"/>
        </w:rPr>
        <w:t>е</w:t>
      </w:r>
      <w:r>
        <w:rPr>
          <w:szCs w:val="28"/>
        </w:rPr>
        <w:t>, допущенных заказчиками, уполномоченными учреждениями и закупочными комиссиями</w:t>
      </w:r>
      <w:r w:rsidR="00641119">
        <w:rPr>
          <w:szCs w:val="28"/>
        </w:rPr>
        <w:t>.</w:t>
      </w:r>
      <w:r>
        <w:rPr>
          <w:szCs w:val="28"/>
        </w:rPr>
        <w:t xml:space="preserve"> </w:t>
      </w:r>
    </w:p>
    <w:p w14:paraId="2CD29E69" w14:textId="36AB33A7" w:rsidR="00AE30A9" w:rsidRDefault="00AE30A9" w:rsidP="00637794">
      <w:pPr>
        <w:pStyle w:val="a6"/>
        <w:spacing w:after="0"/>
        <w:ind w:right="-1" w:firstLine="567"/>
        <w:jc w:val="both"/>
        <w:rPr>
          <w:szCs w:val="28"/>
        </w:rPr>
      </w:pPr>
      <w:r>
        <w:rPr>
          <w:szCs w:val="28"/>
        </w:rPr>
        <w:t xml:space="preserve">По результатам рассмотрения жалоб за 2021 год выдано 142 предписания для устранения допущенных нарушений. </w:t>
      </w:r>
    </w:p>
    <w:p w14:paraId="109F1EA1" w14:textId="77777777" w:rsidR="00AE30A9" w:rsidRDefault="00AE30A9" w:rsidP="00637794">
      <w:pPr>
        <w:pStyle w:val="a6"/>
        <w:spacing w:after="0"/>
        <w:ind w:firstLine="567"/>
        <w:jc w:val="both"/>
        <w:rPr>
          <w:szCs w:val="28"/>
        </w:rPr>
      </w:pPr>
      <w:r>
        <w:rPr>
          <w:szCs w:val="28"/>
        </w:rPr>
        <w:t xml:space="preserve">Из 253 обращений о включении сведений </w:t>
      </w:r>
      <w:proofErr w:type="gramStart"/>
      <w:r>
        <w:rPr>
          <w:szCs w:val="28"/>
        </w:rPr>
        <w:t>в Реестр</w:t>
      </w:r>
      <w:proofErr w:type="gramEnd"/>
      <w:r>
        <w:rPr>
          <w:szCs w:val="28"/>
        </w:rPr>
        <w:t xml:space="preserve"> рассмотренных антимонопольным органом 99 обращений поступило в связи с уклонением участников закупки от подписания контрактов, 154 – в связи с принятием заказчиком решения об одностороннем расторжении контракта.</w:t>
      </w:r>
    </w:p>
    <w:p w14:paraId="4366C37B" w14:textId="022FDA83" w:rsidR="00AE30A9" w:rsidRDefault="00AE30A9" w:rsidP="00641119">
      <w:pPr>
        <w:pStyle w:val="a6"/>
        <w:spacing w:after="0"/>
        <w:ind w:firstLine="567"/>
        <w:jc w:val="both"/>
        <w:rPr>
          <w:szCs w:val="28"/>
        </w:rPr>
      </w:pPr>
      <w:r>
        <w:rPr>
          <w:szCs w:val="28"/>
        </w:rPr>
        <w:t xml:space="preserve">По результатам </w:t>
      </w:r>
      <w:proofErr w:type="gramStart"/>
      <w:r>
        <w:rPr>
          <w:szCs w:val="28"/>
        </w:rPr>
        <w:t>рассмотрения</w:t>
      </w:r>
      <w:proofErr w:type="gramEnd"/>
      <w:r>
        <w:rPr>
          <w:szCs w:val="28"/>
        </w:rPr>
        <w:t xml:space="preserve"> которых антимонопольным органом было принято решение о включении 47 сведений об участниках закупок в Реестр, что составило 18,5% об общего объема рассмотренных Управлением обращений.</w:t>
      </w:r>
    </w:p>
    <w:p w14:paraId="282F5A37" w14:textId="14487EE9" w:rsidR="00AE30A9" w:rsidRDefault="00641119" w:rsidP="00641119">
      <w:pPr>
        <w:pStyle w:val="a6"/>
        <w:spacing w:after="0"/>
        <w:ind w:firstLine="567"/>
        <w:jc w:val="both"/>
        <w:rPr>
          <w:szCs w:val="28"/>
        </w:rPr>
      </w:pPr>
      <w:r>
        <w:rPr>
          <w:szCs w:val="28"/>
        </w:rPr>
        <w:t>П</w:t>
      </w:r>
      <w:r w:rsidR="00AE30A9">
        <w:rPr>
          <w:szCs w:val="28"/>
        </w:rPr>
        <w:t>о итогам проведения 119 плановых и внеплановых проверок заказчиков было установлено 51 нарушение законодательства о контрактной системе, выдано 21 предписание об их устранении.</w:t>
      </w:r>
    </w:p>
    <w:p w14:paraId="3BA4B3CB" w14:textId="77777777" w:rsidR="00AE30A9" w:rsidRDefault="00AE30A9" w:rsidP="00641119">
      <w:pPr>
        <w:pStyle w:val="a6"/>
        <w:spacing w:after="0"/>
        <w:ind w:firstLine="567"/>
        <w:jc w:val="both"/>
        <w:rPr>
          <w:szCs w:val="28"/>
          <w:highlight w:val="yellow"/>
        </w:rPr>
      </w:pPr>
    </w:p>
    <w:p w14:paraId="276D43B4" w14:textId="7E40D7EC" w:rsidR="00641119" w:rsidRDefault="00637794" w:rsidP="00641119">
      <w:pPr>
        <w:pStyle w:val="ConsPlusNonformat"/>
        <w:widowControl/>
        <w:ind w:righ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="00641119" w:rsidRPr="00641119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41119" w:rsidRPr="0036014A">
        <w:rPr>
          <w:rFonts w:ascii="Times New Roman" w:hAnsi="Times New Roman"/>
          <w:sz w:val="28"/>
          <w:szCs w:val="28"/>
        </w:rPr>
        <w:t xml:space="preserve">По фактам нарушений, связанным с осуществлением технологического присоединения к сетям, в Якутское УФАС России поступило </w:t>
      </w:r>
      <w:r w:rsidR="00641119">
        <w:rPr>
          <w:rFonts w:ascii="Times New Roman" w:hAnsi="Times New Roman"/>
          <w:b/>
          <w:sz w:val="28"/>
          <w:szCs w:val="28"/>
        </w:rPr>
        <w:t>50</w:t>
      </w:r>
      <w:r w:rsidR="00641119" w:rsidRPr="0036014A">
        <w:rPr>
          <w:rFonts w:ascii="Times New Roman" w:hAnsi="Times New Roman"/>
          <w:sz w:val="28"/>
          <w:szCs w:val="28"/>
        </w:rPr>
        <w:t xml:space="preserve"> заявлений, по результатам рассмотрения, которых:</w:t>
      </w:r>
    </w:p>
    <w:p w14:paraId="25CB0C2F" w14:textId="790AA9CF" w:rsidR="00641119" w:rsidRPr="00395F44" w:rsidRDefault="00641119" w:rsidP="00641119">
      <w:pPr>
        <w:pStyle w:val="ConsPlusNonformat"/>
        <w:widowControl/>
        <w:numPr>
          <w:ilvl w:val="0"/>
          <w:numId w:val="7"/>
        </w:numPr>
        <w:ind w:right="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F2B99">
        <w:rPr>
          <w:rFonts w:ascii="Times New Roman" w:hAnsi="Times New Roman" w:cs="Times New Roman"/>
          <w:b/>
          <w:color w:val="000000"/>
          <w:sz w:val="28"/>
          <w:szCs w:val="28"/>
        </w:rPr>
        <w:t>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заявление</w:t>
      </w:r>
      <w:r w:rsidRPr="00395F44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направлено по подведомственности (</w:t>
      </w:r>
      <w:hyperlink r:id="rId6" w:history="1">
        <w:r w:rsidRPr="00395F44">
          <w:rPr>
            <w:rFonts w:ascii="Times New Roman" w:hAnsi="Times New Roman" w:cs="Times New Roman"/>
            <w:color w:val="000000"/>
            <w:sz w:val="28"/>
            <w:szCs w:val="28"/>
          </w:rPr>
          <w:t>Управление Роспотребнадзора по РС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r w:rsidRPr="00395F44">
          <w:rPr>
            <w:rFonts w:ascii="Times New Roman" w:hAnsi="Times New Roman" w:cs="Times New Roman"/>
            <w:color w:val="000000"/>
            <w:sz w:val="28"/>
            <w:szCs w:val="28"/>
          </w:rPr>
          <w:t xml:space="preserve">(Я), Управление </w:t>
        </w:r>
        <w:proofErr w:type="spellStart"/>
        <w:r w:rsidRPr="00395F44">
          <w:rPr>
            <w:rFonts w:ascii="Times New Roman" w:hAnsi="Times New Roman" w:cs="Times New Roman"/>
            <w:color w:val="000000"/>
            <w:sz w:val="28"/>
            <w:szCs w:val="28"/>
          </w:rPr>
          <w:t>госстройжилнадзора</w:t>
        </w:r>
        <w:proofErr w:type="spellEnd"/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r w:rsidRPr="00395F44">
          <w:rPr>
            <w:rFonts w:ascii="Times New Roman" w:hAnsi="Times New Roman" w:cs="Times New Roman"/>
            <w:color w:val="000000"/>
            <w:sz w:val="28"/>
            <w:szCs w:val="28"/>
          </w:rPr>
          <w:t>РС(Я)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, МВД РС (Я);</w:t>
      </w:r>
    </w:p>
    <w:p w14:paraId="799F3EF6" w14:textId="29216B01" w:rsidR="00641119" w:rsidRPr="00395F44" w:rsidRDefault="00641119" w:rsidP="00641119">
      <w:pPr>
        <w:pStyle w:val="ConsPlusNonformat"/>
        <w:widowControl/>
        <w:numPr>
          <w:ilvl w:val="0"/>
          <w:numId w:val="7"/>
        </w:numPr>
        <w:ind w:right="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14A">
        <w:rPr>
          <w:rFonts w:ascii="Times New Roman" w:hAnsi="Times New Roman" w:cs="Times New Roman"/>
          <w:b/>
          <w:sz w:val="28"/>
          <w:szCs w:val="28"/>
        </w:rPr>
        <w:t>26</w:t>
      </w:r>
      <w:r w:rsidRPr="00395F44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395F44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рассмотрено на предмет наличия (отсутствия) нарушения </w:t>
      </w:r>
      <w:r w:rsidRPr="00395F44">
        <w:rPr>
          <w:rFonts w:ascii="Times New Roman" w:hAnsi="Times New Roman"/>
          <w:sz w:val="28"/>
          <w:szCs w:val="28"/>
        </w:rPr>
        <w:t xml:space="preserve">субъектом естественной монополии правил (порядка обеспечения) недискриминационного доступа или установленного порядка подключения (технологического присоединения) к сетям </w:t>
      </w:r>
      <w:r>
        <w:rPr>
          <w:rFonts w:ascii="Times New Roman" w:hAnsi="Times New Roman"/>
          <w:sz w:val="28"/>
          <w:szCs w:val="28"/>
        </w:rPr>
        <w:t>(</w:t>
      </w:r>
      <w:r w:rsidRPr="00395F44">
        <w:rPr>
          <w:rFonts w:ascii="Times New Roman" w:hAnsi="Times New Roman"/>
          <w:sz w:val="28"/>
          <w:szCs w:val="28"/>
        </w:rPr>
        <w:t>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энергии, либо препятствование собственником или иным законным владельцем водопроводных и (или) канализационных сетей транспортировке воды по их водопроводным сетям и (или) транспортировке сточных в</w:t>
      </w:r>
      <w:r>
        <w:rPr>
          <w:rFonts w:ascii="Times New Roman" w:hAnsi="Times New Roman"/>
          <w:sz w:val="28"/>
          <w:szCs w:val="28"/>
        </w:rPr>
        <w:t>од по их канализационным сетям);</w:t>
      </w:r>
    </w:p>
    <w:p w14:paraId="6D3F660A" w14:textId="0212C222" w:rsidR="00641119" w:rsidRPr="00E221E5" w:rsidRDefault="00641119" w:rsidP="00641119">
      <w:pPr>
        <w:pStyle w:val="ConsPlusNonformat"/>
        <w:widowControl/>
        <w:numPr>
          <w:ilvl w:val="0"/>
          <w:numId w:val="7"/>
        </w:numPr>
        <w:ind w:right="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7D31">
        <w:rPr>
          <w:rFonts w:ascii="Times New Roman" w:hAnsi="Times New Roman"/>
          <w:sz w:val="28"/>
          <w:szCs w:val="28"/>
        </w:rPr>
        <w:t xml:space="preserve">возбуждено </w:t>
      </w:r>
      <w:r w:rsidRPr="00E221E5">
        <w:rPr>
          <w:rFonts w:ascii="Times New Roman" w:hAnsi="Times New Roman"/>
          <w:b/>
          <w:sz w:val="28"/>
          <w:szCs w:val="28"/>
        </w:rPr>
        <w:t xml:space="preserve">5 </w:t>
      </w:r>
      <w:r w:rsidRPr="00F67D31">
        <w:rPr>
          <w:rFonts w:ascii="Times New Roman" w:hAnsi="Times New Roman"/>
          <w:sz w:val="28"/>
          <w:szCs w:val="28"/>
        </w:rPr>
        <w:t xml:space="preserve">дел об административных правонарушениях по части 1 статьи 9.21 Кодекса РФ об административных правонарушениях, из них по </w:t>
      </w:r>
      <w:r w:rsidRPr="001C6D09">
        <w:rPr>
          <w:rFonts w:ascii="Times New Roman" w:hAnsi="Times New Roman"/>
          <w:b/>
          <w:sz w:val="28"/>
          <w:szCs w:val="28"/>
        </w:rPr>
        <w:t>3</w:t>
      </w:r>
      <w:r w:rsidRPr="00F67D31">
        <w:rPr>
          <w:rFonts w:ascii="Times New Roman" w:hAnsi="Times New Roman"/>
          <w:sz w:val="28"/>
          <w:szCs w:val="28"/>
        </w:rPr>
        <w:t xml:space="preserve"> делам вынесено постановление о прекращении производства по делу об административном правонарушении в связи с отсутствием события а</w:t>
      </w:r>
      <w:r>
        <w:rPr>
          <w:rFonts w:ascii="Times New Roman" w:hAnsi="Times New Roman"/>
          <w:sz w:val="28"/>
          <w:szCs w:val="28"/>
        </w:rPr>
        <w:t xml:space="preserve">дминистративного правонарушения, по </w:t>
      </w:r>
      <w:r w:rsidRPr="00D9573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делу принято решение о назначении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административного наказания в виде административного штрафа в размере 100 000,0 руб., исполнено; </w:t>
      </w:r>
      <w:r w:rsidRPr="00E221E5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- на стадии административного расследования.</w:t>
      </w:r>
    </w:p>
    <w:p w14:paraId="343A8572" w14:textId="24AE51BE" w:rsidR="00641119" w:rsidRDefault="00641119" w:rsidP="00641119">
      <w:pPr>
        <w:pStyle w:val="ConsPlusNonformat"/>
        <w:widowControl/>
        <w:numPr>
          <w:ilvl w:val="0"/>
          <w:numId w:val="7"/>
        </w:numPr>
        <w:ind w:righ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отказано в возбуждении дела об административном правонарушении по </w:t>
      </w:r>
      <w:r w:rsidRPr="005F4C7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заявлениям </w:t>
      </w:r>
      <w:r w:rsidRPr="00F67D31">
        <w:rPr>
          <w:rFonts w:ascii="Times New Roman" w:hAnsi="Times New Roman"/>
          <w:sz w:val="28"/>
          <w:szCs w:val="28"/>
        </w:rPr>
        <w:t>в связи с отсутствием события а</w:t>
      </w:r>
      <w:r>
        <w:rPr>
          <w:rFonts w:ascii="Times New Roman" w:hAnsi="Times New Roman"/>
          <w:sz w:val="28"/>
          <w:szCs w:val="28"/>
        </w:rPr>
        <w:t>дминистративного правонарушения.</w:t>
      </w:r>
    </w:p>
    <w:p w14:paraId="2A0F48EC" w14:textId="77777777" w:rsidR="00641119" w:rsidRPr="00763987" w:rsidRDefault="00641119" w:rsidP="00641119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AB65F4" w14:textId="11DE24D1" w:rsidR="00641119" w:rsidRPr="009A72C1" w:rsidRDefault="00637794" w:rsidP="00641119">
      <w:pPr>
        <w:pStyle w:val="ConsPlusNonformat"/>
        <w:widowControl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6</w:t>
      </w:r>
      <w:r w:rsidR="00641119" w:rsidRPr="0064111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41119" w:rsidRPr="009A72C1">
        <w:rPr>
          <w:rFonts w:ascii="Times New Roman" w:hAnsi="Times New Roman" w:cs="Times New Roman"/>
          <w:sz w:val="28"/>
          <w:szCs w:val="28"/>
        </w:rPr>
        <w:t xml:space="preserve"> </w:t>
      </w:r>
      <w:r w:rsidR="00641119">
        <w:rPr>
          <w:rFonts w:ascii="Times New Roman" w:hAnsi="Times New Roman" w:cs="Times New Roman"/>
          <w:sz w:val="28"/>
          <w:szCs w:val="28"/>
        </w:rPr>
        <w:t>П</w:t>
      </w:r>
      <w:r w:rsidR="00641119" w:rsidRPr="009A72C1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 w:rsidR="00641119">
        <w:rPr>
          <w:rFonts w:ascii="Times New Roman" w:hAnsi="Times New Roman" w:cs="Times New Roman"/>
          <w:sz w:val="28"/>
          <w:szCs w:val="28"/>
        </w:rPr>
        <w:t>31</w:t>
      </w:r>
      <w:r w:rsidR="00641119" w:rsidRPr="009A72C1">
        <w:rPr>
          <w:rFonts w:ascii="Times New Roman" w:hAnsi="Times New Roman" w:cs="Times New Roman"/>
          <w:sz w:val="28"/>
          <w:szCs w:val="28"/>
        </w:rPr>
        <w:t xml:space="preserve">.12.2021 в рамках исполнения государственных полномочий по надзору за соблюдением законодательства Российской Федерации о рекламе на подведомственной территории рассмотрено всего </w:t>
      </w:r>
      <w:r w:rsidR="00641119" w:rsidRPr="009A72C1">
        <w:rPr>
          <w:rFonts w:ascii="Times New Roman" w:hAnsi="Times New Roman" w:cs="Times New Roman"/>
          <w:b/>
          <w:sz w:val="28"/>
          <w:szCs w:val="28"/>
        </w:rPr>
        <w:t>46</w:t>
      </w:r>
      <w:r w:rsidR="00641119" w:rsidRPr="009A72C1">
        <w:rPr>
          <w:rFonts w:ascii="Times New Roman" w:hAnsi="Times New Roman" w:cs="Times New Roman"/>
          <w:sz w:val="28"/>
          <w:szCs w:val="28"/>
        </w:rPr>
        <w:t xml:space="preserve"> заявлений по признакам нарушения </w:t>
      </w:r>
      <w:r w:rsidR="00641119" w:rsidRPr="00637794">
        <w:rPr>
          <w:rFonts w:ascii="Times New Roman" w:hAnsi="Times New Roman" w:cs="Times New Roman"/>
          <w:bCs/>
          <w:sz w:val="28"/>
          <w:szCs w:val="28"/>
        </w:rPr>
        <w:t>законодательства Российской Федерации о рекламе</w:t>
      </w:r>
      <w:r w:rsidR="00641119" w:rsidRPr="009A72C1">
        <w:rPr>
          <w:rFonts w:ascii="Times New Roman" w:hAnsi="Times New Roman" w:cs="Times New Roman"/>
          <w:sz w:val="28"/>
          <w:szCs w:val="28"/>
        </w:rPr>
        <w:t>, по итогам рассмотрения, которых:</w:t>
      </w:r>
    </w:p>
    <w:p w14:paraId="79734237" w14:textId="77777777" w:rsidR="00641119" w:rsidRPr="008D0EFA" w:rsidRDefault="00641119" w:rsidP="008D0EFA">
      <w:pPr>
        <w:pStyle w:val="ConsPlusNonformat"/>
        <w:widowControl/>
        <w:numPr>
          <w:ilvl w:val="0"/>
          <w:numId w:val="7"/>
        </w:numPr>
        <w:tabs>
          <w:tab w:val="left" w:pos="851"/>
        </w:tabs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2C1">
        <w:rPr>
          <w:rFonts w:ascii="Times New Roman" w:hAnsi="Times New Roman" w:cs="Times New Roman"/>
          <w:sz w:val="28"/>
          <w:szCs w:val="28"/>
        </w:rPr>
        <w:t xml:space="preserve">возбуждено </w:t>
      </w:r>
      <w:r w:rsidRPr="008D0EFA">
        <w:rPr>
          <w:rFonts w:ascii="Times New Roman" w:hAnsi="Times New Roman" w:cs="Times New Roman"/>
          <w:b/>
          <w:sz w:val="28"/>
          <w:szCs w:val="28"/>
        </w:rPr>
        <w:t>22</w:t>
      </w:r>
      <w:r w:rsidRPr="008D0EFA">
        <w:rPr>
          <w:rFonts w:ascii="Times New Roman" w:hAnsi="Times New Roman" w:cs="Times New Roman"/>
          <w:sz w:val="28"/>
          <w:szCs w:val="28"/>
        </w:rPr>
        <w:t xml:space="preserve"> дел о нарушении законодательства Российской Федерации о рекламе; </w:t>
      </w:r>
    </w:p>
    <w:p w14:paraId="55C02C7E" w14:textId="77777777" w:rsidR="00641119" w:rsidRPr="008D0EFA" w:rsidRDefault="00641119" w:rsidP="008D0EFA">
      <w:pPr>
        <w:pStyle w:val="ConsPlusNonformat"/>
        <w:widowControl/>
        <w:numPr>
          <w:ilvl w:val="0"/>
          <w:numId w:val="7"/>
        </w:numPr>
        <w:tabs>
          <w:tab w:val="left" w:pos="851"/>
        </w:tabs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EFA">
        <w:rPr>
          <w:rFonts w:ascii="Times New Roman" w:hAnsi="Times New Roman" w:cs="Times New Roman"/>
          <w:sz w:val="28"/>
          <w:szCs w:val="28"/>
        </w:rPr>
        <w:t xml:space="preserve">по </w:t>
      </w:r>
      <w:r w:rsidRPr="008D0EFA">
        <w:rPr>
          <w:rFonts w:ascii="Times New Roman" w:hAnsi="Times New Roman" w:cs="Times New Roman"/>
          <w:b/>
          <w:sz w:val="28"/>
          <w:szCs w:val="28"/>
        </w:rPr>
        <w:t>16</w:t>
      </w:r>
      <w:r w:rsidRPr="008D0EFA">
        <w:rPr>
          <w:rFonts w:ascii="Times New Roman" w:hAnsi="Times New Roman" w:cs="Times New Roman"/>
          <w:sz w:val="28"/>
          <w:szCs w:val="28"/>
        </w:rPr>
        <w:t xml:space="preserve"> заявлениям принято решение об отказе в возбуждении дела и оставлении без рассмотрения; </w:t>
      </w:r>
    </w:p>
    <w:p w14:paraId="4877C8FF" w14:textId="77777777" w:rsidR="00641119" w:rsidRPr="008D0EFA" w:rsidRDefault="00641119" w:rsidP="008D0EFA">
      <w:pPr>
        <w:pStyle w:val="ConsPlusNonformat"/>
        <w:widowControl/>
        <w:numPr>
          <w:ilvl w:val="0"/>
          <w:numId w:val="7"/>
        </w:numPr>
        <w:tabs>
          <w:tab w:val="left" w:pos="851"/>
        </w:tabs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EFA">
        <w:rPr>
          <w:rFonts w:ascii="Times New Roman" w:hAnsi="Times New Roman" w:cs="Times New Roman"/>
          <w:sz w:val="28"/>
          <w:szCs w:val="28"/>
        </w:rPr>
        <w:t>оставлено без рассмотрения –</w:t>
      </w:r>
      <w:r w:rsidRPr="008D0E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0EFA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8D0EF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666B5B4" w14:textId="77777777" w:rsidR="00641119" w:rsidRPr="008D0EFA" w:rsidRDefault="00641119" w:rsidP="008D0EFA">
      <w:pPr>
        <w:pStyle w:val="ConsPlusNonformat"/>
        <w:widowControl/>
        <w:numPr>
          <w:ilvl w:val="0"/>
          <w:numId w:val="7"/>
        </w:numPr>
        <w:tabs>
          <w:tab w:val="left" w:pos="851"/>
        </w:tabs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EFA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8D0EFA">
        <w:rPr>
          <w:rFonts w:ascii="Times New Roman" w:hAnsi="Times New Roman" w:cs="Times New Roman"/>
          <w:sz w:val="28"/>
          <w:szCs w:val="28"/>
        </w:rPr>
        <w:t>заявлений перенаправлено по подведомственности (в Московское УФАС, в Санкт-Петербургское УФАС, в налоговый орган);</w:t>
      </w:r>
    </w:p>
    <w:p w14:paraId="1D5596C8" w14:textId="77777777" w:rsidR="00641119" w:rsidRPr="008D0EFA" w:rsidRDefault="00641119" w:rsidP="008D0EFA">
      <w:pPr>
        <w:pStyle w:val="ConsPlusNonformat"/>
        <w:widowControl/>
        <w:numPr>
          <w:ilvl w:val="0"/>
          <w:numId w:val="7"/>
        </w:numPr>
        <w:tabs>
          <w:tab w:val="left" w:pos="851"/>
        </w:tabs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EFA">
        <w:rPr>
          <w:rFonts w:ascii="Times New Roman" w:hAnsi="Times New Roman" w:cs="Times New Roman"/>
          <w:b/>
          <w:sz w:val="28"/>
          <w:szCs w:val="28"/>
        </w:rPr>
        <w:t>7</w:t>
      </w:r>
      <w:r w:rsidRPr="008D0EFA">
        <w:rPr>
          <w:rFonts w:ascii="Times New Roman" w:hAnsi="Times New Roman" w:cs="Times New Roman"/>
          <w:sz w:val="28"/>
          <w:szCs w:val="28"/>
        </w:rPr>
        <w:t xml:space="preserve"> заявлений находятся на стадии рассмотрения;</w:t>
      </w:r>
    </w:p>
    <w:p w14:paraId="778628B5" w14:textId="77777777" w:rsidR="00641119" w:rsidRPr="008D0EFA" w:rsidRDefault="00641119" w:rsidP="008D0EFA">
      <w:pPr>
        <w:pStyle w:val="ConsPlusNonformat"/>
        <w:widowControl/>
        <w:numPr>
          <w:ilvl w:val="0"/>
          <w:numId w:val="7"/>
        </w:numPr>
        <w:tabs>
          <w:tab w:val="left" w:pos="851"/>
        </w:tabs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EFA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Pr="008D0EFA">
        <w:rPr>
          <w:rFonts w:ascii="Times New Roman" w:hAnsi="Times New Roman" w:cs="Times New Roman"/>
          <w:b/>
          <w:sz w:val="28"/>
          <w:szCs w:val="28"/>
        </w:rPr>
        <w:t>18</w:t>
      </w:r>
      <w:r w:rsidRPr="008D0EFA">
        <w:rPr>
          <w:rFonts w:ascii="Times New Roman" w:hAnsi="Times New Roman" w:cs="Times New Roman"/>
          <w:sz w:val="28"/>
          <w:szCs w:val="28"/>
        </w:rPr>
        <w:t xml:space="preserve"> дел с признаками нарушения требований Федерального закона «О рекламе», по итогам рассмотрения которых приняты решения о признании рекламы ненадлежащей, нарушающей требования законодательства о рекламе, на стадии рассмотрения находятся </w:t>
      </w:r>
      <w:r w:rsidRPr="008D0EFA">
        <w:rPr>
          <w:rFonts w:ascii="Times New Roman" w:hAnsi="Times New Roman" w:cs="Times New Roman"/>
          <w:b/>
          <w:sz w:val="28"/>
          <w:szCs w:val="28"/>
        </w:rPr>
        <w:t>4</w:t>
      </w:r>
      <w:r w:rsidRPr="008D0EFA">
        <w:rPr>
          <w:rFonts w:ascii="Times New Roman" w:hAnsi="Times New Roman" w:cs="Times New Roman"/>
          <w:sz w:val="28"/>
          <w:szCs w:val="28"/>
        </w:rPr>
        <w:t xml:space="preserve"> дела,</w:t>
      </w:r>
    </w:p>
    <w:p w14:paraId="70D48E7A" w14:textId="77777777" w:rsidR="00641119" w:rsidRPr="008D0EFA" w:rsidRDefault="00641119" w:rsidP="008D0EFA">
      <w:pPr>
        <w:pStyle w:val="ConsPlusNonformat"/>
        <w:widowControl/>
        <w:numPr>
          <w:ilvl w:val="0"/>
          <w:numId w:val="7"/>
        </w:numPr>
        <w:tabs>
          <w:tab w:val="left" w:pos="851"/>
        </w:tabs>
        <w:ind w:righ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EFA">
        <w:rPr>
          <w:rFonts w:ascii="Times New Roman" w:hAnsi="Times New Roman" w:cs="Times New Roman"/>
          <w:sz w:val="28"/>
          <w:szCs w:val="28"/>
        </w:rPr>
        <w:t xml:space="preserve">выдано </w:t>
      </w:r>
      <w:r w:rsidRPr="008D0EFA">
        <w:rPr>
          <w:rFonts w:ascii="Times New Roman" w:hAnsi="Times New Roman" w:cs="Times New Roman"/>
          <w:b/>
          <w:sz w:val="28"/>
          <w:szCs w:val="28"/>
        </w:rPr>
        <w:t>7</w:t>
      </w:r>
      <w:r w:rsidRPr="008D0EFA">
        <w:rPr>
          <w:rFonts w:ascii="Times New Roman" w:hAnsi="Times New Roman" w:cs="Times New Roman"/>
          <w:sz w:val="28"/>
          <w:szCs w:val="28"/>
        </w:rPr>
        <w:t xml:space="preserve"> обязательных для исполнения предписаний о прекращении нарушения законодательства Российской Федерации о рекламе, </w:t>
      </w:r>
      <w:r w:rsidRPr="008D0EFA">
        <w:rPr>
          <w:rFonts w:ascii="Times New Roman" w:hAnsi="Times New Roman" w:cs="Times New Roman"/>
          <w:b/>
          <w:sz w:val="28"/>
          <w:szCs w:val="28"/>
        </w:rPr>
        <w:t>6</w:t>
      </w:r>
      <w:r w:rsidRPr="008D0EFA">
        <w:rPr>
          <w:rFonts w:ascii="Times New Roman" w:hAnsi="Times New Roman" w:cs="Times New Roman"/>
          <w:sz w:val="28"/>
          <w:szCs w:val="28"/>
        </w:rPr>
        <w:t xml:space="preserve"> – исполнено, </w:t>
      </w:r>
      <w:r w:rsidRPr="008D0EFA">
        <w:rPr>
          <w:rFonts w:ascii="Times New Roman" w:hAnsi="Times New Roman" w:cs="Times New Roman"/>
          <w:b/>
          <w:sz w:val="28"/>
          <w:szCs w:val="28"/>
        </w:rPr>
        <w:t>1</w:t>
      </w:r>
      <w:r w:rsidRPr="008D0EFA">
        <w:rPr>
          <w:rFonts w:ascii="Times New Roman" w:hAnsi="Times New Roman" w:cs="Times New Roman"/>
          <w:sz w:val="28"/>
          <w:szCs w:val="28"/>
        </w:rPr>
        <w:t xml:space="preserve"> – предписание на исполнении</w:t>
      </w:r>
      <w:r w:rsidRPr="008D0EFA">
        <w:rPr>
          <w:rFonts w:ascii="Times New Roman" w:hAnsi="Times New Roman" w:cs="Times New Roman"/>
          <w:b/>
          <w:sz w:val="28"/>
          <w:szCs w:val="28"/>
        </w:rPr>
        <w:t>;</w:t>
      </w:r>
    </w:p>
    <w:p w14:paraId="6299B15A" w14:textId="256FCDEC" w:rsidR="00641119" w:rsidRDefault="00641119" w:rsidP="00637794">
      <w:pPr>
        <w:pStyle w:val="ConsPlusNonformat"/>
        <w:widowControl/>
        <w:tabs>
          <w:tab w:val="left" w:pos="851"/>
        </w:tabs>
        <w:ind w:left="567" w:right="284"/>
        <w:jc w:val="both"/>
        <w:rPr>
          <w:rFonts w:ascii="Times New Roman" w:hAnsi="Times New Roman"/>
          <w:sz w:val="28"/>
          <w:szCs w:val="28"/>
        </w:rPr>
      </w:pPr>
    </w:p>
    <w:p w14:paraId="6E7AEE22" w14:textId="69181C18" w:rsidR="00637794" w:rsidRDefault="00637794" w:rsidP="00637794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7</w:t>
      </w:r>
      <w:r w:rsidR="00641119" w:rsidRPr="008D0EFA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641119">
        <w:rPr>
          <w:rFonts w:ascii="Times New Roman" w:hAnsi="Times New Roman"/>
          <w:sz w:val="28"/>
          <w:szCs w:val="28"/>
          <w:lang w:eastAsia="ru-RU"/>
        </w:rPr>
        <w:t> В рамках осуществления полномочий</w:t>
      </w:r>
      <w:r w:rsidR="00641119" w:rsidRPr="005A7CF6">
        <w:rPr>
          <w:rFonts w:ascii="Times New Roman" w:hAnsi="Times New Roman"/>
          <w:sz w:val="28"/>
          <w:szCs w:val="28"/>
          <w:lang w:eastAsia="ru-RU"/>
        </w:rPr>
        <w:t xml:space="preserve"> по проверке сведений, предоставляемых в </w:t>
      </w:r>
      <w:r w:rsidR="00641119">
        <w:rPr>
          <w:rFonts w:ascii="Times New Roman" w:hAnsi="Times New Roman"/>
          <w:sz w:val="28"/>
          <w:szCs w:val="28"/>
          <w:lang w:eastAsia="ru-RU"/>
        </w:rPr>
        <w:t xml:space="preserve">Якутское УФАС России </w:t>
      </w:r>
      <w:r w:rsidR="00641119" w:rsidRPr="005A7CF6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="00641119">
        <w:rPr>
          <w:rFonts w:ascii="Times New Roman" w:hAnsi="Times New Roman"/>
          <w:sz w:val="28"/>
          <w:szCs w:val="28"/>
          <w:lang w:eastAsia="ru-RU"/>
        </w:rPr>
        <w:t xml:space="preserve">Правилами направления заказчиками сведений о недобросовестных участниках закупки и поставщиках (исполнителях, подрядчиках) в федеральный орган исполнительной власти, уполномоченный на ведение реестра недобросовестных поставщиков, </w:t>
      </w:r>
      <w:r w:rsidR="00641119" w:rsidRPr="005A7CF6">
        <w:rPr>
          <w:rFonts w:ascii="Times New Roman" w:hAnsi="Times New Roman"/>
          <w:sz w:val="28"/>
          <w:szCs w:val="28"/>
          <w:lang w:eastAsia="ru-RU"/>
        </w:rPr>
        <w:t>утвержденны</w:t>
      </w:r>
      <w:r w:rsidR="00641119">
        <w:rPr>
          <w:rFonts w:ascii="Times New Roman" w:hAnsi="Times New Roman"/>
          <w:sz w:val="28"/>
          <w:szCs w:val="28"/>
          <w:lang w:eastAsia="ru-RU"/>
        </w:rPr>
        <w:t>ми</w:t>
      </w:r>
      <w:r w:rsidR="00641119" w:rsidRPr="005A7C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1119">
        <w:rPr>
          <w:rFonts w:ascii="Times New Roman" w:hAnsi="Times New Roman"/>
          <w:sz w:val="28"/>
          <w:szCs w:val="28"/>
          <w:lang w:eastAsia="ru-RU"/>
        </w:rPr>
        <w:t>п</w:t>
      </w:r>
      <w:r w:rsidR="00641119" w:rsidRPr="005A7CF6">
        <w:rPr>
          <w:rFonts w:ascii="Times New Roman" w:hAnsi="Times New Roman"/>
          <w:sz w:val="28"/>
          <w:szCs w:val="28"/>
          <w:lang w:eastAsia="ru-RU"/>
        </w:rPr>
        <w:t xml:space="preserve">остановлением Правительства </w:t>
      </w:r>
      <w:r w:rsidR="00641119">
        <w:rPr>
          <w:rFonts w:ascii="Times New Roman" w:hAnsi="Times New Roman"/>
          <w:sz w:val="28"/>
          <w:szCs w:val="28"/>
          <w:lang w:eastAsia="ru-RU"/>
        </w:rPr>
        <w:t>РФ от 22.11.2012 №</w:t>
      </w:r>
      <w:r w:rsidR="00641119" w:rsidRPr="005A7CF6">
        <w:rPr>
          <w:rFonts w:ascii="Times New Roman" w:hAnsi="Times New Roman"/>
          <w:sz w:val="28"/>
          <w:szCs w:val="28"/>
          <w:lang w:eastAsia="ru-RU"/>
        </w:rPr>
        <w:t>1211</w:t>
      </w:r>
      <w:r w:rsidR="00641119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641119" w:rsidRPr="005A7CF6">
        <w:rPr>
          <w:rFonts w:ascii="Times New Roman" w:hAnsi="Times New Roman"/>
          <w:sz w:val="28"/>
          <w:szCs w:val="28"/>
          <w:lang w:eastAsia="ru-RU"/>
        </w:rPr>
        <w:t>ассмотрено</w:t>
      </w:r>
      <w:r w:rsidR="00641119" w:rsidRPr="005A7CF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D0EFA">
        <w:rPr>
          <w:rFonts w:ascii="Times New Roman" w:hAnsi="Times New Roman"/>
          <w:b/>
          <w:sz w:val="28"/>
          <w:szCs w:val="28"/>
          <w:lang w:eastAsia="ru-RU"/>
        </w:rPr>
        <w:t>17</w:t>
      </w:r>
      <w:r w:rsidR="00641119" w:rsidRPr="005A7CF6">
        <w:rPr>
          <w:rFonts w:ascii="Times New Roman" w:hAnsi="Times New Roman"/>
          <w:sz w:val="28"/>
          <w:szCs w:val="28"/>
          <w:lang w:eastAsia="ru-RU"/>
        </w:rPr>
        <w:t xml:space="preserve"> заявлений о включении в реестр недобросовестных поставщиков, по итогам рассмотрения которых принято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14:paraId="09DEE73D" w14:textId="76204ABA" w:rsidR="00637794" w:rsidRPr="00637794" w:rsidRDefault="00637794" w:rsidP="00637794">
      <w:pPr>
        <w:pStyle w:val="a8"/>
        <w:numPr>
          <w:ilvl w:val="0"/>
          <w:numId w:val="7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37794">
        <w:rPr>
          <w:rFonts w:ascii="Times New Roman" w:hAnsi="Times New Roman"/>
          <w:sz w:val="28"/>
          <w:szCs w:val="28"/>
          <w:lang w:eastAsia="ru-RU"/>
        </w:rPr>
        <w:t>7 решений о включении сведений в РНП;</w:t>
      </w:r>
    </w:p>
    <w:p w14:paraId="3D35AA34" w14:textId="7005BB52" w:rsidR="00641119" w:rsidRPr="00637794" w:rsidRDefault="00637794" w:rsidP="00637794">
      <w:pPr>
        <w:pStyle w:val="a8"/>
        <w:numPr>
          <w:ilvl w:val="0"/>
          <w:numId w:val="7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37794">
        <w:rPr>
          <w:rFonts w:ascii="Times New Roman" w:hAnsi="Times New Roman"/>
          <w:sz w:val="28"/>
          <w:szCs w:val="28"/>
          <w:lang w:eastAsia="ru-RU"/>
        </w:rPr>
        <w:t xml:space="preserve">10 </w:t>
      </w:r>
      <w:r w:rsidR="00641119" w:rsidRPr="00637794">
        <w:rPr>
          <w:rFonts w:ascii="Times New Roman" w:hAnsi="Times New Roman"/>
          <w:sz w:val="28"/>
          <w:szCs w:val="28"/>
          <w:lang w:eastAsia="ru-RU"/>
        </w:rPr>
        <w:t>решени</w:t>
      </w:r>
      <w:r w:rsidRPr="00637794">
        <w:rPr>
          <w:rFonts w:ascii="Times New Roman" w:hAnsi="Times New Roman"/>
          <w:sz w:val="28"/>
          <w:szCs w:val="28"/>
          <w:lang w:eastAsia="ru-RU"/>
        </w:rPr>
        <w:t>й</w:t>
      </w:r>
      <w:r w:rsidR="00641119" w:rsidRPr="006377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7794">
        <w:rPr>
          <w:rFonts w:ascii="Times New Roman" w:hAnsi="Times New Roman"/>
          <w:sz w:val="28"/>
          <w:szCs w:val="28"/>
          <w:lang w:eastAsia="ru-RU"/>
        </w:rPr>
        <w:t xml:space="preserve">об отсутствии оснований для включения </w:t>
      </w:r>
      <w:r w:rsidR="00641119" w:rsidRPr="00637794">
        <w:rPr>
          <w:rFonts w:ascii="Times New Roman" w:hAnsi="Times New Roman"/>
          <w:sz w:val="28"/>
          <w:szCs w:val="28"/>
          <w:lang w:eastAsia="ru-RU"/>
        </w:rPr>
        <w:t>сведени</w:t>
      </w:r>
      <w:r w:rsidRPr="00637794">
        <w:rPr>
          <w:rFonts w:ascii="Times New Roman" w:hAnsi="Times New Roman"/>
          <w:sz w:val="28"/>
          <w:szCs w:val="28"/>
          <w:lang w:eastAsia="ru-RU"/>
        </w:rPr>
        <w:t>й</w:t>
      </w:r>
      <w:r w:rsidR="00641119" w:rsidRPr="00637794">
        <w:rPr>
          <w:rFonts w:ascii="Times New Roman" w:hAnsi="Times New Roman"/>
          <w:sz w:val="28"/>
          <w:szCs w:val="28"/>
          <w:lang w:eastAsia="ru-RU"/>
        </w:rPr>
        <w:t xml:space="preserve"> в РНП</w:t>
      </w:r>
      <w:r w:rsidRPr="00637794">
        <w:rPr>
          <w:rFonts w:ascii="Times New Roman" w:hAnsi="Times New Roman"/>
          <w:sz w:val="28"/>
          <w:szCs w:val="28"/>
          <w:lang w:eastAsia="ru-RU"/>
        </w:rPr>
        <w:t>.</w:t>
      </w:r>
    </w:p>
    <w:p w14:paraId="07BF1654" w14:textId="77777777" w:rsidR="00637794" w:rsidRDefault="00637794" w:rsidP="00637794">
      <w:pPr>
        <w:pStyle w:val="ConsPlusNonformat"/>
        <w:widowControl/>
        <w:tabs>
          <w:tab w:val="left" w:pos="0"/>
          <w:tab w:val="left" w:pos="567"/>
          <w:tab w:val="left" w:pos="851"/>
        </w:tabs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5FE8B7" w14:textId="17E92B5F" w:rsidR="00641119" w:rsidRDefault="00637794" w:rsidP="00637794">
      <w:pPr>
        <w:pStyle w:val="ConsPlusNonformat"/>
        <w:widowControl/>
        <w:tabs>
          <w:tab w:val="left" w:pos="0"/>
          <w:tab w:val="left" w:pos="567"/>
          <w:tab w:val="left" w:pos="851"/>
        </w:tabs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41119" w:rsidRPr="0063779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41119">
        <w:rPr>
          <w:rFonts w:ascii="Times New Roman" w:hAnsi="Times New Roman" w:cs="Times New Roman"/>
          <w:sz w:val="28"/>
          <w:szCs w:val="28"/>
        </w:rPr>
        <w:t> </w:t>
      </w:r>
      <w:r w:rsidR="00641119" w:rsidRPr="00D31DCC">
        <w:rPr>
          <w:rFonts w:ascii="Times New Roman" w:hAnsi="Times New Roman" w:cs="Times New Roman"/>
          <w:sz w:val="28"/>
          <w:szCs w:val="28"/>
        </w:rPr>
        <w:t xml:space="preserve">Якутское УФАС России приняло участие </w:t>
      </w:r>
      <w:r w:rsidR="00641119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641119" w:rsidRPr="00D31DCC">
        <w:rPr>
          <w:rFonts w:ascii="Times New Roman" w:hAnsi="Times New Roman" w:cs="Times New Roman"/>
          <w:sz w:val="28"/>
          <w:szCs w:val="28"/>
        </w:rPr>
        <w:t>Правления Государственного комитета по ценовой политике Республики Саха (Якутия)</w:t>
      </w:r>
      <w:r w:rsidR="00641119">
        <w:rPr>
          <w:rFonts w:ascii="Times New Roman" w:hAnsi="Times New Roman" w:cs="Times New Roman"/>
          <w:sz w:val="28"/>
          <w:szCs w:val="28"/>
        </w:rPr>
        <w:t xml:space="preserve"> – </w:t>
      </w:r>
      <w:r w:rsidR="00641119" w:rsidRPr="00D31DCC">
        <w:rPr>
          <w:rFonts w:ascii="Times New Roman" w:hAnsi="Times New Roman" w:cs="Times New Roman"/>
          <w:sz w:val="28"/>
          <w:szCs w:val="28"/>
        </w:rPr>
        <w:t>коллегиального органа тарифного регулирования при установлении цен (тарифов)</w:t>
      </w:r>
      <w:r w:rsidR="00641119">
        <w:rPr>
          <w:rFonts w:ascii="Times New Roman" w:hAnsi="Times New Roman" w:cs="Times New Roman"/>
          <w:sz w:val="28"/>
          <w:szCs w:val="28"/>
        </w:rPr>
        <w:t xml:space="preserve"> в </w:t>
      </w:r>
      <w:r w:rsidR="00641119" w:rsidRPr="003C105B">
        <w:rPr>
          <w:rFonts w:ascii="Times New Roman" w:hAnsi="Times New Roman" w:cs="Times New Roman"/>
          <w:b/>
          <w:sz w:val="28"/>
          <w:szCs w:val="28"/>
        </w:rPr>
        <w:t>72</w:t>
      </w:r>
      <w:r w:rsidR="00641119">
        <w:rPr>
          <w:rFonts w:ascii="Times New Roman" w:hAnsi="Times New Roman" w:cs="Times New Roman"/>
          <w:sz w:val="28"/>
          <w:szCs w:val="28"/>
        </w:rPr>
        <w:t xml:space="preserve"> </w:t>
      </w:r>
      <w:r w:rsidR="00641119" w:rsidRPr="00D31DCC">
        <w:rPr>
          <w:rFonts w:ascii="Times New Roman" w:hAnsi="Times New Roman" w:cs="Times New Roman"/>
          <w:sz w:val="28"/>
          <w:szCs w:val="28"/>
        </w:rPr>
        <w:t>заседаниях</w:t>
      </w:r>
      <w:r w:rsidR="00641119" w:rsidRPr="006931BF">
        <w:rPr>
          <w:rFonts w:ascii="Times New Roman" w:hAnsi="Times New Roman" w:cs="Times New Roman"/>
          <w:sz w:val="28"/>
          <w:szCs w:val="28"/>
        </w:rPr>
        <w:t xml:space="preserve"> </w:t>
      </w:r>
      <w:r w:rsidR="00641119" w:rsidRPr="00D31DCC">
        <w:rPr>
          <w:rFonts w:ascii="Times New Roman" w:hAnsi="Times New Roman" w:cs="Times New Roman"/>
          <w:sz w:val="28"/>
          <w:szCs w:val="28"/>
        </w:rPr>
        <w:t xml:space="preserve">по </w:t>
      </w:r>
      <w:r w:rsidR="00641119">
        <w:rPr>
          <w:rFonts w:ascii="Times New Roman" w:hAnsi="Times New Roman" w:cs="Times New Roman"/>
          <w:b/>
          <w:sz w:val="28"/>
          <w:szCs w:val="28"/>
        </w:rPr>
        <w:t>348</w:t>
      </w:r>
      <w:r w:rsidR="00641119" w:rsidRPr="00D31DCC"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="00641119">
        <w:rPr>
          <w:rFonts w:ascii="Times New Roman" w:hAnsi="Times New Roman" w:cs="Times New Roman"/>
          <w:sz w:val="28"/>
          <w:szCs w:val="28"/>
        </w:rPr>
        <w:t xml:space="preserve"> по итогам которых принято </w:t>
      </w:r>
      <w:r w:rsidR="00641119" w:rsidRPr="001437D2">
        <w:rPr>
          <w:rFonts w:ascii="Times New Roman" w:hAnsi="Times New Roman" w:cs="Times New Roman"/>
          <w:b/>
          <w:sz w:val="28"/>
          <w:szCs w:val="28"/>
        </w:rPr>
        <w:t>342</w:t>
      </w:r>
      <w:r w:rsidR="00641119">
        <w:rPr>
          <w:rFonts w:ascii="Times New Roman" w:hAnsi="Times New Roman" w:cs="Times New Roman"/>
          <w:sz w:val="28"/>
          <w:szCs w:val="28"/>
        </w:rPr>
        <w:t xml:space="preserve"> решения. </w:t>
      </w:r>
    </w:p>
    <w:p w14:paraId="633CC3FE" w14:textId="77777777" w:rsidR="00375289" w:rsidRPr="00763987" w:rsidRDefault="00375289" w:rsidP="00641119">
      <w:pPr>
        <w:spacing w:after="0" w:line="252" w:lineRule="auto"/>
        <w:ind w:firstLine="567"/>
        <w:jc w:val="both"/>
        <w:rPr>
          <w:sz w:val="28"/>
          <w:szCs w:val="28"/>
        </w:rPr>
      </w:pPr>
    </w:p>
    <w:sectPr w:rsidR="00375289" w:rsidRPr="00763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A4CA6"/>
    <w:multiLevelType w:val="multilevel"/>
    <w:tmpl w:val="7F0C8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FC1741"/>
    <w:multiLevelType w:val="multilevel"/>
    <w:tmpl w:val="8F1CB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191CB0"/>
    <w:multiLevelType w:val="hybridMultilevel"/>
    <w:tmpl w:val="6C682B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E3E12CE"/>
    <w:multiLevelType w:val="multilevel"/>
    <w:tmpl w:val="4F58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F15BAF"/>
    <w:multiLevelType w:val="hybridMultilevel"/>
    <w:tmpl w:val="4DDECD8C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5" w15:restartNumberingAfterBreak="0">
    <w:nsid w:val="67614B65"/>
    <w:multiLevelType w:val="multilevel"/>
    <w:tmpl w:val="38C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350EF6"/>
    <w:multiLevelType w:val="multilevel"/>
    <w:tmpl w:val="29B2F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289"/>
    <w:rsid w:val="00343541"/>
    <w:rsid w:val="00375289"/>
    <w:rsid w:val="00491CD4"/>
    <w:rsid w:val="00637794"/>
    <w:rsid w:val="00641119"/>
    <w:rsid w:val="00763987"/>
    <w:rsid w:val="00813F39"/>
    <w:rsid w:val="008D0EFA"/>
    <w:rsid w:val="00A57B19"/>
    <w:rsid w:val="00AE30A9"/>
    <w:rsid w:val="00DE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88827"/>
  <w15:chartTrackingRefBased/>
  <w15:docId w15:val="{E7988630-D3BB-4BB0-9006-089571A2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39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9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6398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63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63987"/>
    <w:rPr>
      <w:b/>
      <w:bCs/>
    </w:rPr>
  </w:style>
  <w:style w:type="paragraph" w:styleId="a6">
    <w:name w:val="Body Text"/>
    <w:basedOn w:val="a"/>
    <w:link w:val="a7"/>
    <w:unhideWhenUsed/>
    <w:rsid w:val="00AE30A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E30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6411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37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6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4.rospotrebnadzor.ru/" TargetMode="Externa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sz="1400" baseline="0" dirty="0">
                <a:solidFill>
                  <a:schemeClr val="tx2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Исполнено 2436 функции в рамках контроля по 44-ФЗ</a:t>
            </a:r>
          </a:p>
        </c:rich>
      </c:tx>
      <c:layout>
        <c:manualLayout>
          <c:xMode val="edge"/>
          <c:yMode val="edge"/>
          <c:x val="0.14363972274710982"/>
          <c:y val="2.9090909090909091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75"/>
      <c:rotY val="0"/>
      <c:rAngAx val="0"/>
    </c:view3D>
    <c:floor>
      <c:thickness val="0"/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>
        <c:manualLayout>
          <c:layoutTarget val="inner"/>
          <c:xMode val="edge"/>
          <c:yMode val="edge"/>
          <c:x val="3.5931118366301779E-2"/>
          <c:y val="0.12437939033554415"/>
          <c:w val="0.34312937712054287"/>
          <c:h val="0.8756206096644558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функции в рамках контроля по 44-ФЗ</c:v>
                </c:pt>
              </c:strCache>
            </c:strRef>
          </c:tx>
          <c:explosion val="12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5A20-4B74-AE05-94A58FF80C30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5A20-4B74-AE05-94A58FF80C30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5A20-4B74-AE05-94A58FF80C30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5A20-4B74-AE05-94A58FF80C30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4-5A20-4B74-AE05-94A58FF80C30}"/>
              </c:ext>
            </c:extLst>
          </c:dPt>
          <c:dLbls>
            <c:dLbl>
              <c:idx val="0"/>
              <c:layout>
                <c:manualLayout>
                  <c:x val="-9.745223310500821E-2"/>
                  <c:y val="-0.20784177911371038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A20-4B74-AE05-94A58FF80C30}"/>
                </c:ext>
              </c:extLst>
            </c:dLbl>
            <c:dLbl>
              <c:idx val="1"/>
              <c:layout>
                <c:manualLayout>
                  <c:x val="4.1192411924119245E-2"/>
                  <c:y val="-1.20987573648729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>
                      <a:solidFill>
                        <a:schemeClr val="tx1"/>
                      </a:solidFill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4200542005420058E-2"/>
                      <c:h val="6.085753803596127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5A20-4B74-AE05-94A58FF80C30}"/>
                </c:ext>
              </c:extLst>
            </c:dLbl>
            <c:dLbl>
              <c:idx val="2"/>
              <c:layout>
                <c:manualLayout>
                  <c:x val="4.878048780487805E-2"/>
                  <c:y val="1.163982095599040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>
                      <a:solidFill>
                        <a:schemeClr val="tx1"/>
                      </a:solidFill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4200542005420058E-2"/>
                      <c:h val="4.979253112033194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5A20-4B74-AE05-94A58FF80C30}"/>
                </c:ext>
              </c:extLst>
            </c:dLbl>
            <c:dLbl>
              <c:idx val="3"/>
              <c:layout>
                <c:manualLayout>
                  <c:x val="5.3131382967372978E-2"/>
                  <c:y val="8.154518029644634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A20-4B74-AE05-94A58FF80C30}"/>
                </c:ext>
              </c:extLst>
            </c:dLbl>
            <c:dLbl>
              <c:idx val="4"/>
              <c:layout>
                <c:manualLayout>
                  <c:x val="3.662659240765636E-2"/>
                  <c:y val="0.1277259014822317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A20-4B74-AE05-94A58FF80C30}"/>
                </c:ext>
              </c:extLst>
            </c:dLbl>
            <c:dLbl>
              <c:idx val="5"/>
              <c:layout>
                <c:manualLayout>
                  <c:x val="2.1229370718904038E-2"/>
                  <c:y val="6.4396815543285302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>
                        <a:solidFill>
                          <a:schemeClr val="tx1"/>
                        </a:solidFill>
                      </a:defRPr>
                    </a:pPr>
                    <a:r>
                      <a:rPr lang="en-US">
                        <a:latin typeface="Calibri" panose="020F0502020204030204" pitchFamily="34" charset="0"/>
                        <a:cs typeface="Calibri" panose="020F0502020204030204" pitchFamily="34" charset="0"/>
                      </a:rPr>
                      <a:t>˂</a:t>
                    </a:r>
                    <a:r>
                      <a:rPr lang="en-US"/>
                      <a:t>1%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5517615176151761E-2"/>
                      <c:h val="6.7524422517724697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5-5A20-4B74-AE05-94A58FF80C3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рассмотрено жалоб</c:v>
                </c:pt>
                <c:pt idx="1">
                  <c:v>возбуждено дел по КоАП РФ</c:v>
                </c:pt>
                <c:pt idx="2">
                  <c:v>проведено проверок</c:v>
                </c:pt>
                <c:pt idx="3">
                  <c:v>рассмотрено обращений о включении в РНП</c:v>
                </c:pt>
                <c:pt idx="4">
                  <c:v>рассмотрено обращений и уведомлений по заключению контракта с ед. поставщиком</c:v>
                </c:pt>
                <c:pt idx="5">
                  <c:v>согласовано заключение контрактов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1752</c:v>
                </c:pt>
                <c:pt idx="1">
                  <c:v>104</c:v>
                </c:pt>
                <c:pt idx="2">
                  <c:v>119</c:v>
                </c:pt>
                <c:pt idx="3">
                  <c:v>253</c:v>
                </c:pt>
                <c:pt idx="4">
                  <c:v>204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A20-4B74-AE05-94A58FF80C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41779143460725948"/>
          <c:y val="0.16279108264993847"/>
          <c:w val="0.55463645093143843"/>
          <c:h val="0.7818838827719149"/>
        </c:manualLayout>
      </c:layout>
      <c:overlay val="1"/>
      <c:spPr>
        <a:noFill/>
        <a:ln>
          <a:noFill/>
        </a:ln>
        <a:effectLst>
          <a:outerShdw blurRad="50800" dist="50800" dir="5400000" algn="ctr" rotWithShape="0">
            <a:srgbClr val="000000"/>
          </a:outerShdw>
        </a:effectLst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chemeClr val="accent5">
              <a:lumMod val="75000"/>
            </a:schemeClr>
          </a:solidFill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Иннокентий Анатольевич Лаврентьев</dc:creator>
  <cp:keywords/>
  <dc:description/>
  <cp:lastModifiedBy>Иннокентий Анатольевич Лаврентьев</cp:lastModifiedBy>
  <cp:revision>7</cp:revision>
  <cp:lastPrinted>2022-02-07T02:10:00Z</cp:lastPrinted>
  <dcterms:created xsi:type="dcterms:W3CDTF">2022-02-04T05:29:00Z</dcterms:created>
  <dcterms:modified xsi:type="dcterms:W3CDTF">2022-02-25T00:21:00Z</dcterms:modified>
</cp:coreProperties>
</file>