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56" w:rsidRPr="00024BB9" w:rsidRDefault="00AC4856" w:rsidP="00AC485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РЕШЕНИЕ</w:t>
      </w:r>
    </w:p>
    <w:p w:rsidR="00AC4856" w:rsidRPr="00024BB9" w:rsidRDefault="00AC4856" w:rsidP="00AC485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по делу №03-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/1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 о нарушении антимонопольного законодательства</w:t>
      </w:r>
    </w:p>
    <w:p w:rsidR="00AC4856" w:rsidRPr="00024BB9" w:rsidRDefault="00AC4856" w:rsidP="00AC48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AC485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Резолютивная часть оглашена «1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1»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февраля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г.</w:t>
      </w:r>
    </w:p>
    <w:p w:rsidR="00AC4856" w:rsidRPr="00024BB9" w:rsidRDefault="00AC4856" w:rsidP="00AC485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Изготовлено в полном объеме «</w:t>
      </w:r>
      <w:r w:rsidR="006066F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18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февраля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г.</w:t>
      </w:r>
    </w:p>
    <w:p w:rsidR="00AC4856" w:rsidRPr="00024BB9" w:rsidRDefault="00AC4856" w:rsidP="00AC4856">
      <w:pPr>
        <w:widowControl w:val="0"/>
        <w:suppressAutoHyphens/>
        <w:spacing w:after="0"/>
        <w:ind w:right="45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AC4856" w:rsidRPr="00024BB9" w:rsidRDefault="00AC4856" w:rsidP="003B5154">
      <w:pPr>
        <w:widowControl w:val="0"/>
        <w:suppressAutoHyphens/>
        <w:spacing w:after="0"/>
        <w:ind w:right="45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Комиссия Управления Федеральной антимонопольной службы по Республике Саха (Якутия) по рассмотрению дела о нарушении антимонопольного законодательства в составе:</w:t>
      </w:r>
    </w:p>
    <w:p w:rsidR="00AC4856" w:rsidRPr="00024BB9" w:rsidRDefault="00AC4856" w:rsidP="003B5154">
      <w:pPr>
        <w:widowControl w:val="0"/>
        <w:suppressAutoHyphens/>
        <w:spacing w:after="0"/>
        <w:ind w:right="45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Кузьмин А.Д. – заместитель руководителя Управления Федеральной антимонопольной службы по Республике Саха (Якутия), председатель Комиссии;</w:t>
      </w:r>
      <w:bookmarkStart w:id="0" w:name="_GoBack"/>
      <w:bookmarkEnd w:id="0"/>
    </w:p>
    <w:p w:rsidR="00AC4856" w:rsidRPr="00024BB9" w:rsidRDefault="00AC4856" w:rsidP="003B5154">
      <w:pPr>
        <w:widowControl w:val="0"/>
        <w:suppressAutoHyphens/>
        <w:spacing w:after="0"/>
        <w:ind w:right="45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Борисова Т.П. – главный специалист-эксперт отдела естественных монополий и рекламы УФАС по РС (Я), член Комиссии;</w:t>
      </w:r>
    </w:p>
    <w:p w:rsidR="00AC4856" w:rsidRPr="00024BB9" w:rsidRDefault="00AC4856" w:rsidP="00BF1377">
      <w:pPr>
        <w:widowControl w:val="0"/>
        <w:suppressAutoHyphens/>
        <w:spacing w:after="0"/>
        <w:ind w:right="45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Ефремова А.В. – главный специалист-эксперт отдела естественных монополий и рекламы УФАС по РС (Я), член Комиссии;</w:t>
      </w:r>
    </w:p>
    <w:p w:rsidR="00AC4856" w:rsidRPr="00024BB9" w:rsidRDefault="00AC4856" w:rsidP="003B5154">
      <w:pPr>
        <w:widowControl w:val="0"/>
        <w:suppressAutoHyphens/>
        <w:spacing w:after="0"/>
        <w:ind w:right="45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 участии:</w:t>
      </w:r>
    </w:p>
    <w:p w:rsidR="00AC4856" w:rsidRPr="00B325F3" w:rsidRDefault="00B325F3" w:rsidP="003B5154">
      <w:pPr>
        <w:widowControl w:val="0"/>
        <w:suppressAutoHyphens/>
        <w:spacing w:after="0"/>
        <w:ind w:right="45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- </w:t>
      </w:r>
      <w:r w:rsidRP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Ивановой А.С., Иванова В.М</w:t>
      </w:r>
      <w:r w:rsidR="00AC4856" w:rsidRP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AC4856" w:rsidRPr="00024BB9" w:rsidRDefault="00B325F3" w:rsidP="00BF1377">
      <w:pPr>
        <w:widowControl w:val="0"/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4856" w:rsidRPr="00B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Ответчика </w:t>
      </w:r>
      <w:r w:rsidRPr="00B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явились, уведомлены, ходатайствовали о рассмотрении дела в отсутствии представителя</w:t>
      </w:r>
      <w:r w:rsidR="00AC4856" w:rsidRPr="00B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5154" w:rsidRPr="00024BB9" w:rsidRDefault="00AC4856" w:rsidP="00BF1377">
      <w:pPr>
        <w:widowControl w:val="0"/>
        <w:suppressAutoHyphens/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Рассмотрев дело №03-</w:t>
      </w:r>
      <w:r w:rsid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3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/1</w:t>
      </w:r>
      <w:r w:rsid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4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 возбужденное в отношении О</w:t>
      </w:r>
      <w:r w:rsid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бщества с ограниченной </w:t>
      </w:r>
      <w:r w:rsidR="00BF137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ответственностью</w:t>
      </w:r>
      <w:r w:rsid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«Магистраль Беркакит»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находящегося по адресу: </w:t>
      </w:r>
      <w:r w:rsidR="00B325F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Республика Саха (Якутия), п. Беркакит, ул. Оптимистов, 2</w:t>
      </w:r>
      <w:r w:rsidR="00BF137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(далее ООО «Магистраль Беркакит»)</w:t>
      </w: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 признакам нарушения части 1 статьи 10 Федерального закона от 26.07.2006 № 135-ФЗ «О защите конкуренции»,</w:t>
      </w:r>
    </w:p>
    <w:p w:rsidR="00AC4856" w:rsidRPr="00024BB9" w:rsidRDefault="00AC4856" w:rsidP="00BF1377">
      <w:pPr>
        <w:widowControl w:val="0"/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 с т а </w:t>
      </w:r>
      <w:proofErr w:type="spellStart"/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</w:t>
      </w:r>
      <w:proofErr w:type="spellEnd"/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 в и л а</w:t>
      </w:r>
      <w:proofErr w:type="gramStart"/>
      <w:r w:rsidRPr="00024BB9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:</w:t>
      </w:r>
      <w:proofErr w:type="gramEnd"/>
    </w:p>
    <w:p w:rsidR="003B5154" w:rsidRDefault="003B5154" w:rsidP="003B51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государственного строительного и жилищного надзора Республики Саха (Якутия)  направлено по подведомственности обращение граждан Ивановой А.С., Иванова В.М., проживающих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Победы, дом 17, о нарушен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«Магистраль Беркакит» антимонопольного законодательства.</w:t>
      </w:r>
    </w:p>
    <w:p w:rsidR="003B5154" w:rsidRDefault="003B5154" w:rsidP="00EA5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представленных обращения и приложенных к нему документов следует, что гражданке Ивановой А.С. для подключения к электрическим сетям ООО «Магистраль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Беркакит» выданы Технические условия №64/13 от 19.09.2013 года, содержащие, признаки нарушения антимонопольного законодательства, в положениях следующих пунктов: </w:t>
      </w:r>
    </w:p>
    <w:p w:rsidR="003B5154" w:rsidRDefault="003B5154" w:rsidP="00EA5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Установить прибор учета на границе раздела (близстоящая опора), составить акт раздела границ, Заключить договор на пользование электроэнергией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 «Якутскэнерго»;</w:t>
      </w:r>
    </w:p>
    <w:p w:rsidR="003B5154" w:rsidRDefault="003B5154" w:rsidP="00EA5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Для получения акта допуска электроустановок в эксплуатацию, выполнить испытания электроустановок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предъявить их в ООО «Магистраль Беркакит»</w:t>
      </w:r>
    </w:p>
    <w:p w:rsidR="003B5154" w:rsidRDefault="003B5154" w:rsidP="00EA5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Подключение к электрическим сетям с разрешения и в присутствии представителя ООО «Магистраль Беркакит», при условии выполнения всех пунктов технических условий (акта о выполнении технических условий), наличия разрешения ООО «Магистраль Беркакит» и договора на пользование электроэнергией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 «Якутскэнерго», протоколов испытаний электроустановок специализированной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CC4" w:rsidRDefault="00DC1CC4" w:rsidP="00EA5F88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24 января 2014 года Приказом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  <w:lang w:eastAsia="ru-RU"/>
        </w:rPr>
        <w:t>Федеральной антимонопольной службы по Республике Саха (Якутия) в отношен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«Магистраль Беркакит» возбуждено дело № 03-3/14А по признакам нарушения части 1 статьи 10 Федерального закона от 26.07.2006 №135-ФЗ «О защите конкуренции». </w:t>
      </w:r>
    </w:p>
    <w:p w:rsidR="00DC1CC4" w:rsidRDefault="00DC1CC4" w:rsidP="00EA5F8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дела заявители поддержали заявленные требования, считают, чт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«Магистраль Беркакит» нарушило антимонопольное законодательство путем </w:t>
      </w:r>
      <w:r w:rsidR="00EA5F88">
        <w:rPr>
          <w:rFonts w:ascii="Times New Roman" w:hAnsi="Times New Roman"/>
          <w:sz w:val="24"/>
          <w:szCs w:val="24"/>
        </w:rPr>
        <w:t>включения в технические условия №64/13 от 19.09.2013 года пунктов, которые</w:t>
      </w:r>
      <w:r>
        <w:rPr>
          <w:rFonts w:ascii="Times New Roman" w:hAnsi="Times New Roman"/>
          <w:sz w:val="24"/>
          <w:szCs w:val="24"/>
        </w:rPr>
        <w:t xml:space="preserve"> ущем</w:t>
      </w:r>
      <w:r w:rsidR="00EA5F88">
        <w:rPr>
          <w:rFonts w:ascii="Times New Roman" w:hAnsi="Times New Roman"/>
          <w:sz w:val="24"/>
          <w:szCs w:val="24"/>
        </w:rPr>
        <w:t>ляют их</w:t>
      </w:r>
      <w:r>
        <w:rPr>
          <w:rFonts w:ascii="Times New Roman" w:hAnsi="Times New Roman"/>
          <w:sz w:val="24"/>
          <w:szCs w:val="24"/>
        </w:rPr>
        <w:t xml:space="preserve"> права и законные интересы. </w:t>
      </w:r>
    </w:p>
    <w:p w:rsidR="00DC1CC4" w:rsidRDefault="00EA5F88" w:rsidP="00EA5F8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«Магистраль Беркакит» пояснил, чт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«Магистраль Беркакит» является </w:t>
      </w:r>
      <w:r w:rsidR="00DD7C4C">
        <w:rPr>
          <w:rFonts w:ascii="Times New Roman" w:hAnsi="Times New Roman"/>
          <w:sz w:val="24"/>
          <w:szCs w:val="24"/>
        </w:rPr>
        <w:t>сетевой</w:t>
      </w:r>
      <w:r>
        <w:rPr>
          <w:rFonts w:ascii="Times New Roman" w:hAnsi="Times New Roman"/>
          <w:sz w:val="24"/>
          <w:szCs w:val="24"/>
        </w:rPr>
        <w:t xml:space="preserve"> организацией, ОАО АК «Якутскэнерго» является гарантирующим поставщиком, МУП «ИПУ ЖКХ» - управляющей компанией жилым фондом на территории села </w:t>
      </w:r>
      <w:proofErr w:type="spellStart"/>
      <w:r>
        <w:rPr>
          <w:rFonts w:ascii="Times New Roman" w:hAnsi="Times New Roman"/>
          <w:sz w:val="24"/>
          <w:szCs w:val="24"/>
        </w:rPr>
        <w:t>Иенгра</w:t>
      </w:r>
      <w:proofErr w:type="spellEnd"/>
      <w:r>
        <w:rPr>
          <w:rFonts w:ascii="Times New Roman" w:hAnsi="Times New Roman"/>
          <w:sz w:val="24"/>
          <w:szCs w:val="24"/>
        </w:rPr>
        <w:t xml:space="preserve">. Соглашением о внесении изменений в договор №05506 от 01.08.2010 г. между ОАО АК «Якутскэнерго» и МУП «ИПУ ЖКХ» на </w:t>
      </w:r>
      <w:r w:rsidR="00DD7C4C">
        <w:rPr>
          <w:rFonts w:ascii="Times New Roman" w:hAnsi="Times New Roman"/>
          <w:sz w:val="24"/>
          <w:szCs w:val="24"/>
        </w:rPr>
        <w:t>энергоснабжение 08.10.2013г. внесены изменения, а именно исключены с 01.10.2013г. индивидуальные потребители электроэнергии населением, в том числе и жилой дом №17 по ул. 50 лет Победы.</w:t>
      </w:r>
    </w:p>
    <w:p w:rsidR="00DD7C4C" w:rsidRDefault="00DD7C4C" w:rsidP="00DD7C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п.9 Основных положений </w:t>
      </w:r>
      <w:r w:rsidRPr="00DD7C4C">
        <w:rPr>
          <w:rFonts w:ascii="Times New Roman" w:hAnsi="Times New Roman" w:cs="Times New Roman"/>
          <w:sz w:val="24"/>
          <w:szCs w:val="24"/>
        </w:rPr>
        <w:t>функционировании розничных рынков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РФ от 04.05.2013 № 442 </w:t>
      </w:r>
      <w:r w:rsidR="00BF1377">
        <w:rPr>
          <w:rFonts w:ascii="Times New Roman" w:hAnsi="Times New Roman" w:cs="Times New Roman"/>
          <w:sz w:val="24"/>
          <w:szCs w:val="24"/>
        </w:rPr>
        <w:t xml:space="preserve">(далее Основные положения) </w:t>
      </w:r>
      <w:r>
        <w:rPr>
          <w:rFonts w:ascii="Times New Roman" w:hAnsi="Times New Roman" w:cs="Times New Roman"/>
          <w:sz w:val="24"/>
          <w:szCs w:val="24"/>
        </w:rPr>
        <w:t xml:space="preserve">гарантирующий поставщик обязан заключать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документа договор энергоснабжения (купли-продажи (поставки) электрической энергии (мощности)) с любым обратившимся к нему физическим или юридическим лицом в отношении энергопринимающих устройств, расположенных в границах зоны деятельности гарантирующего поставщика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по основаниям и в порядке, которые установлены в настоящем разделе, принимать на обслуживание любого потребителя, энергопринимающие устройства которого расположены в границах зоны деятельности гарантирующего поставщика, в отсутствие обращения потребителя.</w:t>
      </w:r>
    </w:p>
    <w:p w:rsidR="00BF1377" w:rsidRDefault="00DD7C4C" w:rsidP="00BF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1377">
        <w:rPr>
          <w:rFonts w:ascii="Times New Roman" w:hAnsi="Times New Roman" w:cs="Times New Roman"/>
          <w:sz w:val="24"/>
          <w:szCs w:val="24"/>
        </w:rPr>
        <w:t xml:space="preserve">пунктом 25 указанных Основных положений установлена обязанность сетевой организации </w:t>
      </w:r>
      <w:proofErr w:type="gramStart"/>
      <w:r w:rsidR="00BF1377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="00BF1377" w:rsidRPr="00BF1377">
        <w:rPr>
          <w:rFonts w:ascii="Times New Roman" w:hAnsi="Times New Roman" w:cs="Times New Roman"/>
          <w:sz w:val="24"/>
          <w:szCs w:val="24"/>
        </w:rPr>
        <w:t xml:space="preserve"> действия,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</w:t>
      </w:r>
      <w:r w:rsidR="00BF13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1377">
        <w:rPr>
          <w:rFonts w:ascii="Times New Roman" w:hAnsi="Times New Roman" w:cs="Times New Roman"/>
          <w:sz w:val="24"/>
          <w:szCs w:val="24"/>
        </w:rPr>
        <w:t xml:space="preserve">По истечении 2 месяцев с даты, установленной для принятия гарантирующим поставщиком на обслуживание потребителей, сетевая организация обязана удостовериться в том, что все </w:t>
      </w:r>
      <w:r w:rsidR="00BF137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потребители, за исключением граждан, ранее обслуживавшихся </w:t>
      </w:r>
      <w:proofErr w:type="spellStart"/>
      <w:r w:rsidR="00BF1377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F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1377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="00BF1377">
        <w:rPr>
          <w:rFonts w:ascii="Times New Roman" w:hAnsi="Times New Roman" w:cs="Times New Roman"/>
          <w:sz w:val="24"/>
          <w:szCs w:val="24"/>
        </w:rPr>
        <w:t xml:space="preserve">) организацией, для которой наступили предусмотренные </w:t>
      </w:r>
      <w:hyperlink r:id="rId8" w:history="1">
        <w:r w:rsidR="00BF1377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="00BF1377">
        <w:rPr>
          <w:rFonts w:ascii="Times New Roman" w:hAnsi="Times New Roman" w:cs="Times New Roman"/>
          <w:sz w:val="24"/>
          <w:szCs w:val="24"/>
        </w:rPr>
        <w:t xml:space="preserve"> Основных положений обстоятельства, или организацией, утратившей статус гарантирующего поставщика, заключили в письменной форме договоры, обеспечивающие продажу им электрической энергии (мощности).</w:t>
      </w:r>
      <w:proofErr w:type="gramEnd"/>
    </w:p>
    <w:p w:rsidR="00BF1377" w:rsidRDefault="00BF1377" w:rsidP="00BF13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Сетевой организацией ООО «Магистраль Беркакит» 06.09.2013 г. обследованы жилой фонд индивидуальной застройки на территории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Иенгра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Выявлены нарушения подключения потребителей к сетям ООО «Магистраль Беркакит».</w:t>
      </w:r>
    </w:p>
    <w:p w:rsidR="004E6502" w:rsidRDefault="004E6502" w:rsidP="00BF13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нарушений ООО «Магистраль Беркакит» были выданы технические условия №64/13 от 19.09.2013г., в которых указано о необходимости установить прибор учета на границе раздела балансовой принадлежности, т.е. на установленной опоре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0,4, находящейся на земельном участке, принадлежащем на праве собственности гражданам Ивановым, для последующего заключения договора на энергоснабжение с гарантирующим поставщиком.</w:t>
      </w:r>
    </w:p>
    <w:p w:rsidR="004E6502" w:rsidRDefault="004E6502" w:rsidP="004E65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п.1.8.1 Правил устройства электроустановок, утвержденных Приказом Минэнерго РФ 08.07.2002г. №204</w:t>
      </w:r>
      <w:r w:rsidR="009C171C">
        <w:rPr>
          <w:rFonts w:ascii="Times New Roman" w:hAnsi="Times New Roman" w:cs="Times New Roman"/>
          <w:sz w:val="24"/>
          <w:szCs w:val="24"/>
        </w:rPr>
        <w:t xml:space="preserve"> (далее Правила устройства электроустановок)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6502">
        <w:rPr>
          <w:rFonts w:ascii="Times New Roman" w:hAnsi="Times New Roman" w:cs="Times New Roman"/>
          <w:sz w:val="24"/>
          <w:szCs w:val="24"/>
        </w:rPr>
        <w:t>Электрооборудование до 500 кВ, вновь вводимое в эксплуатацию, должно быть подвергнуто приемо-сдаточным испытаниям в соответствии с требованиями настоящей главы. Приемо-сдаточные испытания рекомендуется проводить в нормальных условиях окружающей среды, указанных в государственных стандартах.</w:t>
      </w:r>
    </w:p>
    <w:p w:rsidR="004E6502" w:rsidRDefault="004E6502" w:rsidP="004E65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граждане Ивановы прежде не обращались в порядке и сроки, установленные законодательством РФ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сетевую организацию, а самовольно совершили присоединение своих энергопринимающих устройств к сетям ООО «Магистраль Беркакит»,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технические условий №64/13 от 19.09.2013г. был включен пункт 7 на законных основаниях.</w:t>
      </w:r>
    </w:p>
    <w:p w:rsidR="00002A6F" w:rsidRDefault="00002A6F" w:rsidP="0040164A">
      <w:pPr>
        <w:pStyle w:val="a8"/>
        <w:spacing w:line="240" w:lineRule="auto"/>
        <w:ind w:firstLine="851"/>
        <w:rPr>
          <w:u w:val="none"/>
        </w:rPr>
      </w:pPr>
      <w:r>
        <w:rPr>
          <w:u w:val="none"/>
        </w:rPr>
        <w:t>Комиссия Управления Федеральной антимонопольной службы по Республике Саха (Якутия), заслушав объяснения лиц, участвующих в деле, изучив имеющиеся в материалах дела документы, пришла к следующим выводам.</w:t>
      </w:r>
    </w:p>
    <w:p w:rsidR="0040164A" w:rsidRDefault="0040164A" w:rsidP="0040164A">
      <w:pPr>
        <w:pStyle w:val="a8"/>
        <w:spacing w:line="240" w:lineRule="auto"/>
        <w:ind w:firstLine="851"/>
        <w:rPr>
          <w:u w:val="none"/>
        </w:rPr>
      </w:pPr>
      <w:r>
        <w:rPr>
          <w:u w:val="none"/>
        </w:rPr>
        <w:t>Заявителям на праве общей совместной собственности принадлежит земельный участок, расположенный по адресу: РС (Я</w:t>
      </w:r>
      <w:proofErr w:type="gramStart"/>
      <w:r>
        <w:rPr>
          <w:u w:val="none"/>
        </w:rPr>
        <w:t xml:space="preserve">),, </w:t>
      </w:r>
      <w:proofErr w:type="gramEnd"/>
      <w:r>
        <w:rPr>
          <w:u w:val="none"/>
        </w:rPr>
        <w:t xml:space="preserve">г. Нерюнгри, </w:t>
      </w:r>
      <w:proofErr w:type="spellStart"/>
      <w:r>
        <w:rPr>
          <w:u w:val="none"/>
        </w:rPr>
        <w:t>Иенгринский</w:t>
      </w:r>
      <w:proofErr w:type="spellEnd"/>
      <w:r>
        <w:rPr>
          <w:u w:val="none"/>
        </w:rPr>
        <w:t xml:space="preserve"> наслег, с. </w:t>
      </w:r>
      <w:proofErr w:type="spellStart"/>
      <w:r>
        <w:rPr>
          <w:u w:val="none"/>
        </w:rPr>
        <w:t>Иенгра</w:t>
      </w:r>
      <w:proofErr w:type="spellEnd"/>
      <w:r>
        <w:rPr>
          <w:u w:val="none"/>
        </w:rPr>
        <w:t>, ул. 50 лет Победы, д. 17, и жилой дом, находящийся по тому же адресу.</w:t>
      </w:r>
    </w:p>
    <w:p w:rsidR="00002A6F" w:rsidRDefault="00002A6F" w:rsidP="00FD4D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Материалами дела установлено, что гражданам Ивановым выданы технические условия №64/13 от 19.09.2013г. на подключение к электрическим сетям ООО «Магистраль Беркакит», с максимальной подключаемой мощностью 10 кВт, точкой подключения на изоляторах близстоящей опоры ВЛ-0,4. Согласно </w:t>
      </w:r>
      <w:r w:rsidR="00FD4DF0">
        <w:rPr>
          <w:rFonts w:ascii="Times New Roman" w:hAnsi="Times New Roman" w:cs="Times New Roman"/>
          <w:sz w:val="24"/>
          <w:szCs w:val="24"/>
        </w:rPr>
        <w:t>пункту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становить прибор учета на границе раздела (близстоящая опора), составить акт раздела границ, Заключить договор на пользование электроэнергией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 «Якутскэнерго»;</w:t>
      </w:r>
      <w:r w:rsidR="00FD4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Для получения акта допуска электроустановок в эксплуатацию, выполнить испытания электроустановок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предъявить их в ООО «Магистраль Беркакит»</w:t>
      </w:r>
      <w:r w:rsidR="00FD4DF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8. Подключение к электрическим сетям с разрешения и в присутствии представителя ООО «Магистраль Беркакит», при условии выполнения всех пунктов технических условий (акта о выполнении технических условий), наличия разрешения ООО «Магистраль Беркакит» и договора на пользование электроэнергией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 «Якутскэнерго», протоколов испытаний электроустановок специализированной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A6F" w:rsidRDefault="00FD4DF0" w:rsidP="004E65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выдан акт №58/13 от 19.09.2013г. разграничения балансовой принадлежности электросетей и ответственности за эксплуатацию межд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«Магистраль Беркакит» и заявителем владельцем частного домостроения А.С. Ивановой.</w:t>
      </w:r>
      <w:r w:rsidR="0040164A">
        <w:rPr>
          <w:rFonts w:ascii="Times New Roman" w:hAnsi="Times New Roman" w:cs="Times New Roman"/>
          <w:sz w:val="24"/>
          <w:szCs w:val="24"/>
        </w:rPr>
        <w:t xml:space="preserve"> Указанным актом установлено, что расчетные средства учета установлены не на границе раздела балансовой принадлежности электросетей.</w:t>
      </w:r>
    </w:p>
    <w:p w:rsidR="0040164A" w:rsidRPr="000734A8" w:rsidRDefault="0040164A" w:rsidP="00401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части 1 статьи 26 Федерального закона от 26.03.2003 №35-ФЗ «Об электроэнергетике» </w:t>
      </w:r>
      <w:r w:rsidRPr="00827441">
        <w:rPr>
          <w:rFonts w:ascii="Times New Roman" w:hAnsi="Times New Roman" w:cs="Times New Roman"/>
          <w:i/>
          <w:sz w:val="24"/>
          <w:szCs w:val="24"/>
        </w:rPr>
        <w:t xml:space="preserve">технологическое присоединение к объектам </w:t>
      </w:r>
      <w:proofErr w:type="spellStart"/>
      <w:r w:rsidRPr="00827441">
        <w:rPr>
          <w:rFonts w:ascii="Times New Roman" w:hAnsi="Times New Roman" w:cs="Times New Roman"/>
          <w:i/>
          <w:sz w:val="24"/>
          <w:szCs w:val="24"/>
        </w:rPr>
        <w:t>электросетевого</w:t>
      </w:r>
      <w:proofErr w:type="spellEnd"/>
      <w:r w:rsidRPr="00827441">
        <w:rPr>
          <w:rFonts w:ascii="Times New Roman" w:hAnsi="Times New Roman" w:cs="Times New Roman"/>
          <w:i/>
          <w:sz w:val="24"/>
          <w:szCs w:val="24"/>
        </w:rPr>
        <w:t xml:space="preserve"> хозяйства энергопринимающих устройств потребителей электрической энергии</w:t>
      </w:r>
      <w:r w:rsidRPr="000734A8">
        <w:rPr>
          <w:rFonts w:ascii="Times New Roman" w:hAnsi="Times New Roman" w:cs="Times New Roman"/>
          <w:sz w:val="24"/>
          <w:szCs w:val="24"/>
        </w:rPr>
        <w:t xml:space="preserve">, объектов по производству электрической энергии, а также объектов </w:t>
      </w:r>
      <w:proofErr w:type="spellStart"/>
      <w:r w:rsidRPr="000734A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0734A8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9" w:history="1">
        <w:r w:rsidRPr="000734A8">
          <w:rPr>
            <w:rStyle w:val="aa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734A8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и носит однократный характер.</w:t>
      </w:r>
      <w:proofErr w:type="gramEnd"/>
    </w:p>
    <w:p w:rsidR="0040164A" w:rsidRDefault="0040164A" w:rsidP="00401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технологического присоединения энергопринимающих устройств потребителей электрической энергии определен Правилами технологического присоединения энергопринимающих устройств потребителей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хозяйства, принадлежащих сетевым организациям и иным лицам, к электрическим сетям, утвержденными </w:t>
      </w:r>
      <w:r w:rsidRPr="002A39D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D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DB">
        <w:rPr>
          <w:rFonts w:ascii="Times New Roman" w:hAnsi="Times New Roman" w:cs="Times New Roman"/>
          <w:sz w:val="24"/>
          <w:szCs w:val="24"/>
        </w:rPr>
        <w:t>от 27 де</w:t>
      </w:r>
      <w:r>
        <w:rPr>
          <w:rFonts w:ascii="Times New Roman" w:hAnsi="Times New Roman" w:cs="Times New Roman"/>
          <w:sz w:val="24"/>
          <w:szCs w:val="24"/>
        </w:rPr>
        <w:t>кабря 2004 г. №</w:t>
      </w:r>
      <w:r w:rsidRPr="002A39DB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>1 (далее Правила).</w:t>
      </w:r>
      <w:proofErr w:type="gramEnd"/>
    </w:p>
    <w:p w:rsidR="0040164A" w:rsidRDefault="0040164A" w:rsidP="00401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вышеуказанных правил,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присоединения. </w:t>
      </w:r>
    </w:p>
    <w:p w:rsidR="0040164A" w:rsidRDefault="0040164A" w:rsidP="004016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относится к лицам, указанным в пункте 14 - физическое лицо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технологическому присоединению установлены пунктом 18 вышеуказанных правил и включают в себя:  </w:t>
      </w:r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264A12">
        <w:rPr>
          <w:rFonts w:ascii="Times New Roman" w:hAnsi="Times New Roman" w:cs="Times New Roman"/>
          <w:sz w:val="24"/>
          <w:szCs w:val="24"/>
        </w:rP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</w:t>
      </w:r>
      <w:r>
        <w:rPr>
          <w:rFonts w:ascii="Times New Roman" w:hAnsi="Times New Roman" w:cs="Times New Roman"/>
          <w:sz w:val="24"/>
          <w:szCs w:val="24"/>
        </w:rPr>
        <w:t>электроэнергетических системах)</w:t>
      </w:r>
      <w:r w:rsidRPr="00264A12">
        <w:rPr>
          <w:rFonts w:ascii="Times New Roman" w:hAnsi="Times New Roman" w:cs="Times New Roman"/>
          <w:sz w:val="24"/>
          <w:szCs w:val="24"/>
        </w:rPr>
        <w:t>;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12">
        <w:rPr>
          <w:rFonts w:ascii="Times New Roman" w:hAnsi="Times New Roman" w:cs="Times New Roman"/>
          <w:sz w:val="24"/>
          <w:szCs w:val="24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94">
        <w:rPr>
          <w:rFonts w:ascii="Times New Roman" w:hAnsi="Times New Roman" w:cs="Times New Roman"/>
          <w:sz w:val="24"/>
          <w:szCs w:val="24"/>
        </w:rPr>
        <w:t xml:space="preserve">е) для лиц, указанных в </w:t>
      </w:r>
      <w:hyperlink r:id="rId10" w:history="1">
        <w:r w:rsidRPr="00530994">
          <w:rPr>
            <w:rFonts w:ascii="Times New Roman" w:hAnsi="Times New Roman" w:cs="Times New Roman"/>
            <w:sz w:val="24"/>
            <w:szCs w:val="24"/>
          </w:rPr>
          <w:t>пунктах 12(1)</w:t>
        </w:r>
      </w:hyperlink>
      <w:r w:rsidRPr="0053099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30994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53099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3099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30994">
        <w:rPr>
          <w:rFonts w:ascii="Times New Roman" w:hAnsi="Times New Roman" w:cs="Times New Roman"/>
          <w:sz w:val="24"/>
          <w:szCs w:val="24"/>
        </w:rPr>
        <w:t xml:space="preserve"> настоящих Правил, осмотр присоединяемых электроустановок заявителя, включая вводные распределительные устройства, должен осуществляться сетевой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с участием заявителя, с выдачей акта осмотра (обследования) энергопринимающих устройств заявителя.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12">
        <w:rPr>
          <w:rFonts w:ascii="Times New Roman" w:hAnsi="Times New Roman" w:cs="Times New Roman"/>
          <w:sz w:val="24"/>
          <w:szCs w:val="24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совокупности изложенного следует, что сетевая организация не проводит проверку выполнения технических условий заявителем, который является физическим лицом, а проводит осмотр (обследование) присоединяемых энергопринимающих устройств с участием заявителя, с выдачей акта осмотра (обследования).</w:t>
      </w:r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Пунктом 25(1) Правил установлено, что в</w:t>
      </w:r>
      <w:r w:rsidRPr="00264A12">
        <w:rPr>
          <w:rFonts w:ascii="Times New Roman" w:hAnsi="Times New Roman" w:cs="Times New Roman"/>
          <w:sz w:val="24"/>
          <w:szCs w:val="24"/>
        </w:rPr>
        <w:t xml:space="preserve"> технических условиях для заявителей,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264A1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" w:history="1">
        <w:r w:rsidRPr="00264A12">
          <w:rPr>
            <w:rStyle w:val="aa"/>
            <w:rFonts w:ascii="Times New Roman" w:hAnsi="Times New Roman" w:cs="Times New Roman"/>
            <w:sz w:val="24"/>
            <w:szCs w:val="24"/>
          </w:rPr>
          <w:t>14</w:t>
        </w:r>
      </w:hyperlink>
      <w:r w:rsidRPr="00264A12">
        <w:rPr>
          <w:rFonts w:ascii="Times New Roman" w:hAnsi="Times New Roman" w:cs="Times New Roman"/>
          <w:sz w:val="24"/>
          <w:szCs w:val="24"/>
        </w:rPr>
        <w:t xml:space="preserve"> Правил, должны быть указаны:</w:t>
      </w:r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12">
        <w:rPr>
          <w:rFonts w:ascii="Times New Roman" w:hAnsi="Times New Roman" w:cs="Times New Roman"/>
          <w:sz w:val="24"/>
          <w:szCs w:val="24"/>
        </w:rPr>
        <w:lastRenderedPageBreak/>
        <w:t>а)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заявителя;</w:t>
      </w:r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12">
        <w:rPr>
          <w:rFonts w:ascii="Times New Roman" w:hAnsi="Times New Roman" w:cs="Times New Roman"/>
          <w:sz w:val="24"/>
          <w:szCs w:val="24"/>
        </w:rPr>
        <w:t xml:space="preserve">а(1)) максимальная мощность в соответствии с заявкой и ее распределение по каждой точке присоединения к объектам </w:t>
      </w:r>
      <w:proofErr w:type="spellStart"/>
      <w:r w:rsidRPr="00264A1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64A12">
        <w:rPr>
          <w:rFonts w:ascii="Times New Roman" w:hAnsi="Times New Roman" w:cs="Times New Roman"/>
          <w:sz w:val="24"/>
          <w:szCs w:val="24"/>
        </w:rPr>
        <w:t xml:space="preserve"> хозяйства;</w:t>
      </w:r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A12">
        <w:rPr>
          <w:rFonts w:ascii="Times New Roman" w:hAnsi="Times New Roman" w:cs="Times New Roman"/>
          <w:sz w:val="24"/>
          <w:szCs w:val="24"/>
        </w:rPr>
        <w:t xml:space="preserve"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</w:t>
      </w:r>
      <w:proofErr w:type="spellStart"/>
      <w:r w:rsidRPr="00264A12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264A12">
        <w:rPr>
          <w:rFonts w:ascii="Times New Roman" w:hAnsi="Times New Roman" w:cs="Times New Roman"/>
          <w:sz w:val="24"/>
          <w:szCs w:val="24"/>
        </w:rPr>
        <w:t xml:space="preserve">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средств;</w:t>
      </w:r>
      <w:proofErr w:type="gramEnd"/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12">
        <w:rPr>
          <w:rFonts w:ascii="Times New Roman" w:hAnsi="Times New Roman" w:cs="Times New Roman"/>
          <w:sz w:val="24"/>
          <w:szCs w:val="24"/>
        </w:rPr>
        <w:t>в) 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A12">
        <w:rPr>
          <w:rFonts w:ascii="Times New Roman" w:hAnsi="Times New Roman" w:cs="Times New Roman"/>
          <w:sz w:val="24"/>
          <w:szCs w:val="24"/>
        </w:rPr>
        <w:t>г)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организацией).</w:t>
      </w:r>
    </w:p>
    <w:p w:rsidR="0040164A" w:rsidRPr="00264A12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перечень является исчерпывающим.</w:t>
      </w:r>
    </w:p>
    <w:p w:rsidR="009C171C" w:rsidRDefault="0040164A" w:rsidP="009C1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264A1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Правил установлено, что с</w:t>
      </w:r>
      <w:r w:rsidRPr="00264A12">
        <w:rPr>
          <w:rFonts w:ascii="Times New Roman" w:hAnsi="Times New Roman" w:cs="Times New Roman"/>
          <w:sz w:val="24"/>
          <w:szCs w:val="24"/>
        </w:rPr>
        <w:t xml:space="preserve">етевая </w:t>
      </w:r>
      <w:r w:rsidRPr="00827441">
        <w:rPr>
          <w:rFonts w:ascii="Times New Roman" w:hAnsi="Times New Roman" w:cs="Times New Roman"/>
          <w:sz w:val="24"/>
          <w:szCs w:val="24"/>
          <w:u w:val="single"/>
        </w:rPr>
        <w:t>организация не вправе требовать представления сведений и документов, не предусмотренных настоящими Правилами, а заявитель не обязан представлять сведения и документы, не предусмотренные настоящими Правилами.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включение в технические условия №64/13 от 19.09.2013, выданных ООО «Магистраль Беркакит» положений пункта 6, которым предусмотрена обязанность заявителя установить прибор учета на границе раздела (близстоящая опора), не соответствуют п. 25.1. Правил технологического присоединения, что могло привести к ущемл</w:t>
      </w:r>
      <w:r w:rsidR="00C93DB1">
        <w:rPr>
          <w:rFonts w:ascii="Times New Roman" w:hAnsi="Times New Roman" w:cs="Times New Roman"/>
          <w:sz w:val="24"/>
          <w:szCs w:val="24"/>
        </w:rPr>
        <w:t>ению прав и интересов заявителя, поскольку законодательством не предусмотрена обязанность по установке прибора учета в строго обозначенном месте.</w:t>
      </w:r>
    </w:p>
    <w:p w:rsidR="009C171C" w:rsidRDefault="009C171C" w:rsidP="002B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предисловия к главе 1.8 «Нормы приемо-сдаточных работ» Правил устройства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электроустановок требования Правил устройства электроустановок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обязательны для всех организаций независимо от форм собственности и организационно-правовых форм, а также для физических лиц, занятых предпринимательской деятельностью без образования юридического лица. Заявители относятся к категории физических лиц, энергопринимающие устройства которых используются для бытовых и иных нужд, не связанных с осуществлением предпринимательской деятельности.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 ответчика</w:t>
      </w:r>
      <w:r w:rsidR="001E1DF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включении пункта 7 в технические условия №64/13от 19.09.2013г. согласно требованиям п.1.8.1. Правил устройства электроустановок отклоняется по вышеуказанному обстоятельству.</w:t>
      </w:r>
    </w:p>
    <w:p w:rsidR="0040164A" w:rsidRDefault="009C171C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приходит к выводу о том, что согласно</w:t>
      </w:r>
      <w:r w:rsidR="0040164A">
        <w:rPr>
          <w:rFonts w:ascii="Times New Roman" w:hAnsi="Times New Roman" w:cs="Times New Roman"/>
          <w:sz w:val="24"/>
          <w:szCs w:val="24"/>
        </w:rPr>
        <w:t xml:space="preserve"> п. 25.1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40164A">
        <w:rPr>
          <w:rFonts w:ascii="Times New Roman" w:hAnsi="Times New Roman" w:cs="Times New Roman"/>
          <w:sz w:val="24"/>
          <w:szCs w:val="24"/>
        </w:rPr>
        <w:t xml:space="preserve">определяющий состав и содержание технических условий не предусматривает включение в технические условия требования о выполнении испытаний электроустановок специализированной </w:t>
      </w:r>
      <w:proofErr w:type="spellStart"/>
      <w:r w:rsidR="0040164A"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 w:rsidR="0040164A">
        <w:rPr>
          <w:rFonts w:ascii="Times New Roman" w:hAnsi="Times New Roman" w:cs="Times New Roman"/>
          <w:sz w:val="24"/>
          <w:szCs w:val="24"/>
        </w:rPr>
        <w:t xml:space="preserve"> и предъявление их, а также наличия акта о выполнении технических условий, договора на пользование электроэнергией, протоколов испытаний электроустановок специализированной </w:t>
      </w:r>
      <w:proofErr w:type="spellStart"/>
      <w:r w:rsidR="0040164A">
        <w:rPr>
          <w:rFonts w:ascii="Times New Roman" w:hAnsi="Times New Roman" w:cs="Times New Roman"/>
          <w:sz w:val="24"/>
          <w:szCs w:val="24"/>
        </w:rPr>
        <w:t>электролабораторией</w:t>
      </w:r>
      <w:proofErr w:type="spellEnd"/>
      <w:r w:rsidR="0040164A">
        <w:rPr>
          <w:rFonts w:ascii="Times New Roman" w:hAnsi="Times New Roman" w:cs="Times New Roman"/>
          <w:sz w:val="24"/>
          <w:szCs w:val="24"/>
        </w:rPr>
        <w:t>.</w:t>
      </w:r>
    </w:p>
    <w:p w:rsidR="0040164A" w:rsidRPr="00157A19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7A1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«Магистраль Беркакит</w:t>
      </w:r>
      <w:r w:rsidRPr="00157A19">
        <w:rPr>
          <w:rFonts w:ascii="Times New Roman" w:hAnsi="Times New Roman" w:cs="Times New Roman"/>
          <w:sz w:val="24"/>
          <w:szCs w:val="24"/>
        </w:rPr>
        <w:t>» внесено в Реестр субъектов естественных монополий, в отношении которых осуществляется государственное регулирование и контроль в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7A19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приказом ФСТ от </w:t>
      </w:r>
      <w:r w:rsidRPr="00470B42">
        <w:rPr>
          <w:rFonts w:ascii="Times New Roman" w:eastAsia="Calibri" w:hAnsi="Times New Roman" w:cs="Times New Roman"/>
          <w:sz w:val="24"/>
          <w:szCs w:val="24"/>
        </w:rPr>
        <w:t>27.06.2013 №854-э</w:t>
      </w:r>
      <w:r w:rsidRPr="00157A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64A" w:rsidRPr="00157A19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9">
        <w:rPr>
          <w:rFonts w:ascii="Times New Roman" w:hAnsi="Times New Roman" w:cs="Times New Roman"/>
          <w:sz w:val="24"/>
          <w:szCs w:val="24"/>
        </w:rPr>
        <w:lastRenderedPageBreak/>
        <w:t>Согласно части 5 стат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57A19">
        <w:rPr>
          <w:rFonts w:ascii="Times New Roman" w:hAnsi="Times New Roman" w:cs="Times New Roman"/>
          <w:sz w:val="24"/>
          <w:szCs w:val="24"/>
        </w:rPr>
        <w:t xml:space="preserve">и 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26.07.2006 №135-ФЗ </w:t>
      </w:r>
      <w:r w:rsidRPr="00157A19">
        <w:rPr>
          <w:rFonts w:ascii="Times New Roman" w:hAnsi="Times New Roman" w:cs="Times New Roman"/>
          <w:sz w:val="24"/>
          <w:szCs w:val="24"/>
        </w:rPr>
        <w:t>«О защите конкуренции» доминирующим признается положение хозяйствующего субъекта - субъекта естественной монополии на товарном рынке, находящемся в состоянии естественной монополии.</w:t>
      </w:r>
    </w:p>
    <w:p w:rsidR="0040164A" w:rsidRPr="00157A19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9">
        <w:rPr>
          <w:rFonts w:ascii="Times New Roman" w:hAnsi="Times New Roman" w:cs="Times New Roman"/>
          <w:sz w:val="24"/>
          <w:szCs w:val="24"/>
        </w:rPr>
        <w:t xml:space="preserve">Тем самым, наличие доминирующего положения </w:t>
      </w:r>
      <w:proofErr w:type="gramStart"/>
      <w:r w:rsidRPr="00157A19">
        <w:rPr>
          <w:rFonts w:ascii="Times New Roman" w:hAnsi="Times New Roman" w:cs="Times New Roman"/>
          <w:sz w:val="24"/>
          <w:szCs w:val="24"/>
        </w:rPr>
        <w:t>у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7A1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7A1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Магистраль Беркакит</w:t>
      </w:r>
      <w:r w:rsidRPr="00157A19">
        <w:rPr>
          <w:rFonts w:ascii="Times New Roman" w:hAnsi="Times New Roman" w:cs="Times New Roman"/>
          <w:sz w:val="24"/>
          <w:szCs w:val="24"/>
        </w:rPr>
        <w:t xml:space="preserve">» на товарном рынке услуг по передаче электрической энергии на территории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Нерюнгринский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7A19">
        <w:rPr>
          <w:rFonts w:ascii="Times New Roman" w:hAnsi="Times New Roman" w:cs="Times New Roman"/>
          <w:sz w:val="24"/>
          <w:szCs w:val="24"/>
        </w:rPr>
        <w:t xml:space="preserve"> бесспорно.  </w:t>
      </w:r>
    </w:p>
    <w:p w:rsidR="0040164A" w:rsidRDefault="0040164A" w:rsidP="0040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19">
        <w:rPr>
          <w:rFonts w:ascii="Times New Roman" w:hAnsi="Times New Roman" w:cs="Times New Roman"/>
          <w:sz w:val="24"/>
          <w:szCs w:val="24"/>
        </w:rPr>
        <w:t xml:space="preserve">Частью 1 статьи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</w:t>
      </w:r>
      <w:r>
        <w:rPr>
          <w:rFonts w:ascii="Times New Roman" w:hAnsi="Times New Roman" w:cs="Times New Roman"/>
          <w:sz w:val="24"/>
          <w:szCs w:val="24"/>
        </w:rPr>
        <w:t>ущемление интересов других лиц.</w:t>
      </w:r>
    </w:p>
    <w:p w:rsidR="0040164A" w:rsidRDefault="001E1DFA" w:rsidP="0040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</w:t>
      </w:r>
      <w:r w:rsidR="004016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приходит к выводу, что</w:t>
      </w:r>
      <w:r w:rsidR="0040164A">
        <w:rPr>
          <w:rFonts w:ascii="Times New Roman" w:hAnsi="Times New Roman" w:cs="Times New Roman"/>
          <w:sz w:val="24"/>
          <w:szCs w:val="24"/>
        </w:rPr>
        <w:t xml:space="preserve"> включение в технические условия №64/13 от 19.09.2013 пунктов не соответствующих Правилам технологического присоединения к электрическим сетям ООО «Магистраль Беркакит» свидетельствует о злоупотреблении своим доминирующим положением, которое могло привести</w:t>
      </w:r>
      <w:r>
        <w:rPr>
          <w:rFonts w:ascii="Times New Roman" w:hAnsi="Times New Roman" w:cs="Times New Roman"/>
          <w:sz w:val="24"/>
          <w:szCs w:val="24"/>
        </w:rPr>
        <w:t xml:space="preserve"> к ущемлению интересов заявителей.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частями 1 – 4 статьи 41, частью 1 статьи 49 Федерального закона «О защите конкуренции», Комиссия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1DF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E1DF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1E1DF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E1DFA">
        <w:rPr>
          <w:rFonts w:ascii="Times New Roman" w:hAnsi="Times New Roman" w:cs="Times New Roman"/>
          <w:sz w:val="24"/>
          <w:szCs w:val="24"/>
        </w:rPr>
        <w:t xml:space="preserve"> и л а: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>1. Признать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1DF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Магистраль Беркакит</w:t>
      </w:r>
      <w:r w:rsidR="00C133C8">
        <w:rPr>
          <w:rFonts w:ascii="Times New Roman" w:hAnsi="Times New Roman" w:cs="Times New Roman"/>
          <w:sz w:val="24"/>
          <w:szCs w:val="24"/>
        </w:rPr>
        <w:t xml:space="preserve">» нарушившим </w:t>
      </w:r>
      <w:r w:rsidRPr="001E1DFA">
        <w:rPr>
          <w:rFonts w:ascii="Times New Roman" w:hAnsi="Times New Roman" w:cs="Times New Roman"/>
          <w:sz w:val="24"/>
          <w:szCs w:val="24"/>
        </w:rPr>
        <w:t>част</w:t>
      </w:r>
      <w:r w:rsidR="00C133C8">
        <w:rPr>
          <w:rFonts w:ascii="Times New Roman" w:hAnsi="Times New Roman" w:cs="Times New Roman"/>
          <w:sz w:val="24"/>
          <w:szCs w:val="24"/>
        </w:rPr>
        <w:t>ь</w:t>
      </w:r>
      <w:r w:rsidRPr="001E1DFA">
        <w:rPr>
          <w:rFonts w:ascii="Times New Roman" w:hAnsi="Times New Roman" w:cs="Times New Roman"/>
          <w:sz w:val="24"/>
          <w:szCs w:val="24"/>
        </w:rPr>
        <w:t xml:space="preserve"> 1 статьи 10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26.07.2006 №135</w:t>
      </w:r>
      <w:r w:rsidRPr="001E1DFA">
        <w:rPr>
          <w:rFonts w:ascii="Times New Roman" w:hAnsi="Times New Roman" w:cs="Times New Roman"/>
          <w:sz w:val="24"/>
          <w:szCs w:val="24"/>
        </w:rPr>
        <w:t xml:space="preserve"> «О защите конкуренции». 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Вынести в адрес ОО</w:t>
      </w:r>
      <w:r w:rsidRPr="001E1DFA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Магистраль Беркакит</w:t>
      </w:r>
      <w:r w:rsidRPr="001E1DFA">
        <w:rPr>
          <w:rFonts w:ascii="Times New Roman" w:hAnsi="Times New Roman" w:cs="Times New Roman"/>
          <w:sz w:val="24"/>
          <w:szCs w:val="24"/>
        </w:rPr>
        <w:t>» предписание о прекращении нарушения части 1 статьи 10 Федерального закона от 26.07.2006 №135-ФЗ «О защите конкуренции».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 xml:space="preserve">Решение может быть обжаловано в судебном порядке в течение трех месяцев со дня вынесения. 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Кузьмин </w:t>
      </w:r>
      <w:r w:rsidRPr="001E1DF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DF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E1D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Борисова</w:t>
      </w:r>
      <w:r w:rsidRPr="001E1DFA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1DFA">
        <w:rPr>
          <w:rFonts w:ascii="Times New Roman" w:hAnsi="Times New Roman" w:cs="Times New Roman"/>
          <w:sz w:val="24"/>
          <w:szCs w:val="24"/>
        </w:rPr>
        <w:t>.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1DFA">
        <w:rPr>
          <w:rFonts w:ascii="Times New Roman" w:hAnsi="Times New Roman" w:cs="Times New Roman"/>
          <w:sz w:val="24"/>
          <w:szCs w:val="24"/>
        </w:rPr>
        <w:t xml:space="preserve">   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1DF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Ефремова А</w:t>
      </w:r>
      <w:r w:rsidRPr="001E1DFA">
        <w:rPr>
          <w:rFonts w:ascii="Times New Roman" w:hAnsi="Times New Roman" w:cs="Times New Roman"/>
          <w:sz w:val="24"/>
          <w:szCs w:val="24"/>
        </w:rPr>
        <w:t>.В.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FA" w:rsidRPr="001E1DFA" w:rsidRDefault="001E1DFA" w:rsidP="001E1D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6502" w:rsidRPr="00BF1377" w:rsidRDefault="004E6502" w:rsidP="00BF13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C4C" w:rsidRDefault="00DD7C4C" w:rsidP="00DD7C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52DF" w:rsidRPr="000205FC" w:rsidRDefault="00F352DF" w:rsidP="00DD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352DF" w:rsidRPr="000205FC" w:rsidSect="00F352D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95" w:rsidRDefault="00183195" w:rsidP="009558EF">
      <w:pPr>
        <w:spacing w:after="0" w:line="240" w:lineRule="auto"/>
      </w:pPr>
      <w:r>
        <w:separator/>
      </w:r>
    </w:p>
  </w:endnote>
  <w:endnote w:type="continuationSeparator" w:id="0">
    <w:p w:rsidR="00183195" w:rsidRDefault="00183195" w:rsidP="0095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6719"/>
      <w:docPartObj>
        <w:docPartGallery w:val="Page Numbers (Bottom of Page)"/>
        <w:docPartUnique/>
      </w:docPartObj>
    </w:sdtPr>
    <w:sdtContent>
      <w:p w:rsidR="0040164A" w:rsidRDefault="00E2704D">
        <w:pPr>
          <w:pStyle w:val="a6"/>
          <w:jc w:val="right"/>
        </w:pPr>
        <w:fldSimple w:instr=" PAGE   \* MERGEFORMAT ">
          <w:r w:rsidR="00C133C8">
            <w:rPr>
              <w:noProof/>
            </w:rPr>
            <w:t>6</w:t>
          </w:r>
        </w:fldSimple>
      </w:p>
    </w:sdtContent>
  </w:sdt>
  <w:p w:rsidR="0040164A" w:rsidRDefault="004016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95" w:rsidRDefault="00183195" w:rsidP="009558EF">
      <w:pPr>
        <w:spacing w:after="0" w:line="240" w:lineRule="auto"/>
      </w:pPr>
      <w:r>
        <w:separator/>
      </w:r>
    </w:p>
  </w:footnote>
  <w:footnote w:type="continuationSeparator" w:id="0">
    <w:p w:rsidR="00183195" w:rsidRDefault="00183195" w:rsidP="0095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733"/>
    <w:multiLevelType w:val="hybridMultilevel"/>
    <w:tmpl w:val="B1B2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5FC"/>
    <w:rsid w:val="00002A6F"/>
    <w:rsid w:val="000205FC"/>
    <w:rsid w:val="00183195"/>
    <w:rsid w:val="001A47AD"/>
    <w:rsid w:val="001E1DFA"/>
    <w:rsid w:val="002B3120"/>
    <w:rsid w:val="002F7988"/>
    <w:rsid w:val="003071ED"/>
    <w:rsid w:val="003B5154"/>
    <w:rsid w:val="003E62EB"/>
    <w:rsid w:val="0040164A"/>
    <w:rsid w:val="004E48CB"/>
    <w:rsid w:val="004E6502"/>
    <w:rsid w:val="006066F9"/>
    <w:rsid w:val="00782FB9"/>
    <w:rsid w:val="00930956"/>
    <w:rsid w:val="009558EF"/>
    <w:rsid w:val="00997626"/>
    <w:rsid w:val="009C171C"/>
    <w:rsid w:val="00AC4856"/>
    <w:rsid w:val="00B325F3"/>
    <w:rsid w:val="00BF1377"/>
    <w:rsid w:val="00C133C8"/>
    <w:rsid w:val="00C93DB1"/>
    <w:rsid w:val="00DC1CC4"/>
    <w:rsid w:val="00DD7C4C"/>
    <w:rsid w:val="00E2704D"/>
    <w:rsid w:val="00E55D84"/>
    <w:rsid w:val="00E665CC"/>
    <w:rsid w:val="00E83DB4"/>
    <w:rsid w:val="00EA5F88"/>
    <w:rsid w:val="00EC5B7B"/>
    <w:rsid w:val="00ED47D4"/>
    <w:rsid w:val="00F352DF"/>
    <w:rsid w:val="00F7385B"/>
    <w:rsid w:val="00FD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5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8EF"/>
  </w:style>
  <w:style w:type="paragraph" w:styleId="a6">
    <w:name w:val="footer"/>
    <w:basedOn w:val="a"/>
    <w:link w:val="a7"/>
    <w:uiPriority w:val="99"/>
    <w:unhideWhenUsed/>
    <w:rsid w:val="0095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8EF"/>
  </w:style>
  <w:style w:type="paragraph" w:styleId="a8">
    <w:name w:val="Body Text"/>
    <w:basedOn w:val="a"/>
    <w:link w:val="a9"/>
    <w:rsid w:val="00002A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002A6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a">
    <w:name w:val="Hyperlink"/>
    <w:basedOn w:val="a0"/>
    <w:uiPriority w:val="99"/>
    <w:unhideWhenUsed/>
    <w:rsid w:val="00401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0AF46BEA6C9297AAB58992895119980D4AF965CBA285F997DA9BE6508E371BD5BFBC58F26001y9mB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EFB073993D6B726FA3F6F632750648226A2DA8CD4115F9943B1CF6A1DD4E4187535BEF83800B1AU4c1H" TargetMode="External"/><Relationship Id="rId12" Type="http://schemas.openxmlformats.org/officeDocument/2006/relationships/hyperlink" Target="consultantplus://offline/ref=730DC293B8BAEFE501A056184068643F5998AC5C0D1F0AAA9F8D900C2E1799E08F78D93D26FBD9A4SEd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0DC293B8BAEFE501A056184068643F5998AC5C0D1F0AAA9F8D900C2E1799E08F78D93D26FAD1A3SEd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0DC293B8BAEFE501A056184068643F5998AC5C0D1F0AAA9F8D900C2E1799E08F78D93D26FBD6ADSE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A41672E748C18925579430D622F1744737C2FB0D3FD8E98136EFC7D359BC250200E09C16C0B77q0x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6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to14-efremova</dc:creator>
  <cp:keywords/>
  <dc:description/>
  <cp:lastModifiedBy>to14-efremova</cp:lastModifiedBy>
  <cp:revision>7</cp:revision>
  <cp:lastPrinted>2014-02-18T05:26:00Z</cp:lastPrinted>
  <dcterms:created xsi:type="dcterms:W3CDTF">2014-02-11T07:55:00Z</dcterms:created>
  <dcterms:modified xsi:type="dcterms:W3CDTF">2014-02-18T05:30:00Z</dcterms:modified>
</cp:coreProperties>
</file>