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66" w:rsidRDefault="00834266" w:rsidP="00834266">
      <w:pPr>
        <w:spacing w:after="0" w:line="240" w:lineRule="auto"/>
        <w:jc w:val="center"/>
        <w:rPr>
          <w:rFonts w:ascii="Times New Roman" w:hAnsi="Times New Roman"/>
          <w:b/>
          <w:sz w:val="24"/>
          <w:szCs w:val="24"/>
          <w:lang w:eastAsia="ru-RU"/>
        </w:rPr>
      </w:pPr>
    </w:p>
    <w:p w:rsidR="00834266" w:rsidRDefault="00834266" w:rsidP="00834266">
      <w:pPr>
        <w:spacing w:after="0" w:line="240" w:lineRule="auto"/>
        <w:jc w:val="center"/>
        <w:rPr>
          <w:rFonts w:ascii="Times New Roman" w:hAnsi="Times New Roman"/>
          <w:b/>
          <w:sz w:val="24"/>
          <w:szCs w:val="24"/>
          <w:lang w:eastAsia="ru-RU"/>
        </w:rPr>
      </w:pPr>
    </w:p>
    <w:p w:rsidR="00834266" w:rsidRDefault="00834266" w:rsidP="00834266">
      <w:pPr>
        <w:spacing w:after="0" w:line="240" w:lineRule="auto"/>
        <w:jc w:val="center"/>
        <w:rPr>
          <w:rFonts w:ascii="Times New Roman" w:hAnsi="Times New Roman"/>
          <w:b/>
          <w:sz w:val="24"/>
          <w:szCs w:val="24"/>
          <w:lang w:eastAsia="ru-RU"/>
        </w:rPr>
      </w:pPr>
    </w:p>
    <w:p w:rsidR="00834266" w:rsidRDefault="00834266" w:rsidP="00834266">
      <w:pPr>
        <w:spacing w:after="0" w:line="240" w:lineRule="auto"/>
        <w:jc w:val="center"/>
        <w:rPr>
          <w:rFonts w:ascii="Times New Roman" w:hAnsi="Times New Roman"/>
          <w:b/>
          <w:sz w:val="24"/>
          <w:szCs w:val="24"/>
          <w:lang w:eastAsia="ru-RU"/>
        </w:rPr>
      </w:pPr>
    </w:p>
    <w:p w:rsidR="00834266" w:rsidRDefault="00834266" w:rsidP="00834266">
      <w:pPr>
        <w:spacing w:after="0" w:line="240" w:lineRule="auto"/>
        <w:jc w:val="center"/>
        <w:rPr>
          <w:rFonts w:ascii="Times New Roman" w:hAnsi="Times New Roman"/>
          <w:b/>
          <w:sz w:val="24"/>
          <w:szCs w:val="24"/>
          <w:lang w:eastAsia="ru-RU"/>
        </w:rPr>
      </w:pPr>
    </w:p>
    <w:p w:rsidR="00834266" w:rsidRDefault="00834266" w:rsidP="00834266">
      <w:pPr>
        <w:spacing w:after="0" w:line="240" w:lineRule="auto"/>
        <w:jc w:val="center"/>
        <w:rPr>
          <w:rFonts w:ascii="Times New Roman" w:hAnsi="Times New Roman"/>
          <w:b/>
          <w:sz w:val="24"/>
          <w:szCs w:val="24"/>
          <w:lang w:eastAsia="ru-RU"/>
        </w:rPr>
      </w:pPr>
    </w:p>
    <w:p w:rsidR="00834266" w:rsidRDefault="00834266" w:rsidP="00834266">
      <w:pPr>
        <w:spacing w:after="0" w:line="240" w:lineRule="auto"/>
        <w:jc w:val="center"/>
        <w:rPr>
          <w:rFonts w:ascii="Times New Roman" w:hAnsi="Times New Roman"/>
          <w:b/>
          <w:sz w:val="24"/>
          <w:szCs w:val="24"/>
          <w:lang w:eastAsia="ru-RU"/>
        </w:rPr>
      </w:pPr>
    </w:p>
    <w:p w:rsidR="00834266" w:rsidRDefault="00834266" w:rsidP="00834266">
      <w:pPr>
        <w:spacing w:after="0" w:line="240" w:lineRule="auto"/>
        <w:jc w:val="center"/>
        <w:rPr>
          <w:rFonts w:ascii="Times New Roman" w:hAnsi="Times New Roman"/>
          <w:b/>
          <w:sz w:val="24"/>
          <w:szCs w:val="24"/>
          <w:lang w:eastAsia="ru-RU"/>
        </w:rPr>
      </w:pPr>
    </w:p>
    <w:p w:rsidR="00834266" w:rsidRDefault="00834266" w:rsidP="00834266">
      <w:pPr>
        <w:spacing w:after="0" w:line="240" w:lineRule="auto"/>
        <w:jc w:val="center"/>
        <w:rPr>
          <w:rFonts w:ascii="Times New Roman" w:hAnsi="Times New Roman"/>
          <w:b/>
          <w:sz w:val="24"/>
          <w:szCs w:val="24"/>
          <w:lang w:eastAsia="ru-RU"/>
        </w:rPr>
      </w:pPr>
    </w:p>
    <w:p w:rsidR="00834266" w:rsidRDefault="00834266" w:rsidP="00834266">
      <w:pPr>
        <w:spacing w:after="0" w:line="240" w:lineRule="auto"/>
        <w:jc w:val="center"/>
        <w:rPr>
          <w:rFonts w:ascii="Times New Roman" w:hAnsi="Times New Roman"/>
          <w:b/>
          <w:sz w:val="24"/>
          <w:szCs w:val="24"/>
          <w:lang w:eastAsia="ru-RU"/>
        </w:rPr>
      </w:pPr>
    </w:p>
    <w:p w:rsidR="00834266" w:rsidRDefault="00834266" w:rsidP="00834266">
      <w:pPr>
        <w:spacing w:after="0" w:line="240" w:lineRule="auto"/>
        <w:jc w:val="center"/>
        <w:rPr>
          <w:rFonts w:ascii="Times New Roman" w:hAnsi="Times New Roman"/>
          <w:b/>
          <w:sz w:val="24"/>
          <w:szCs w:val="24"/>
          <w:lang w:eastAsia="ru-RU"/>
        </w:rPr>
      </w:pPr>
    </w:p>
    <w:p w:rsidR="00DD1FD1" w:rsidRDefault="00DD1FD1" w:rsidP="00834266">
      <w:pPr>
        <w:spacing w:after="0" w:line="240" w:lineRule="auto"/>
        <w:jc w:val="center"/>
        <w:rPr>
          <w:rFonts w:ascii="Times New Roman" w:hAnsi="Times New Roman"/>
          <w:b/>
          <w:sz w:val="24"/>
          <w:szCs w:val="24"/>
          <w:lang w:eastAsia="ru-RU"/>
        </w:rPr>
      </w:pPr>
    </w:p>
    <w:p w:rsidR="00DD1FD1" w:rsidRDefault="00DD1FD1" w:rsidP="00834266">
      <w:pPr>
        <w:spacing w:after="0" w:line="240" w:lineRule="auto"/>
        <w:jc w:val="center"/>
        <w:rPr>
          <w:rFonts w:ascii="Times New Roman" w:hAnsi="Times New Roman"/>
          <w:b/>
          <w:sz w:val="24"/>
          <w:szCs w:val="24"/>
          <w:lang w:eastAsia="ru-RU"/>
        </w:rPr>
      </w:pPr>
    </w:p>
    <w:p w:rsidR="00834266" w:rsidRDefault="00834266" w:rsidP="00834266">
      <w:pPr>
        <w:spacing w:after="0" w:line="240" w:lineRule="auto"/>
        <w:jc w:val="center"/>
        <w:rPr>
          <w:rFonts w:ascii="Times New Roman" w:hAnsi="Times New Roman"/>
          <w:b/>
          <w:sz w:val="24"/>
          <w:szCs w:val="24"/>
          <w:lang w:eastAsia="ru-RU"/>
        </w:rPr>
      </w:pPr>
    </w:p>
    <w:p w:rsidR="00834266" w:rsidRDefault="00834266" w:rsidP="00834266">
      <w:pPr>
        <w:spacing w:after="0" w:line="240" w:lineRule="auto"/>
        <w:jc w:val="center"/>
        <w:rPr>
          <w:rFonts w:ascii="Times New Roman" w:hAnsi="Times New Roman"/>
          <w:b/>
          <w:sz w:val="24"/>
          <w:szCs w:val="24"/>
          <w:lang w:eastAsia="ru-RU"/>
        </w:rPr>
      </w:pPr>
    </w:p>
    <w:p w:rsidR="00834266" w:rsidRDefault="00834266" w:rsidP="00834266">
      <w:pPr>
        <w:spacing w:after="0" w:line="240" w:lineRule="auto"/>
        <w:jc w:val="center"/>
        <w:rPr>
          <w:rFonts w:ascii="Times New Roman" w:hAnsi="Times New Roman"/>
          <w:b/>
          <w:sz w:val="24"/>
          <w:szCs w:val="24"/>
          <w:lang w:eastAsia="ru-RU"/>
        </w:rPr>
      </w:pPr>
    </w:p>
    <w:p w:rsidR="00834266" w:rsidRDefault="00834266" w:rsidP="00834266">
      <w:pPr>
        <w:spacing w:after="0" w:line="240" w:lineRule="auto"/>
        <w:jc w:val="center"/>
        <w:rPr>
          <w:rFonts w:ascii="Times New Roman" w:hAnsi="Times New Roman"/>
          <w:b/>
          <w:sz w:val="24"/>
          <w:szCs w:val="24"/>
          <w:lang w:eastAsia="ru-RU"/>
        </w:rPr>
      </w:pPr>
      <w:r w:rsidRPr="00532EBB">
        <w:rPr>
          <w:rFonts w:ascii="Times New Roman" w:hAnsi="Times New Roman"/>
          <w:b/>
          <w:sz w:val="24"/>
          <w:szCs w:val="24"/>
          <w:lang w:eastAsia="ru-RU"/>
        </w:rPr>
        <w:t>П</w:t>
      </w:r>
      <w:r>
        <w:rPr>
          <w:rFonts w:ascii="Times New Roman" w:hAnsi="Times New Roman"/>
          <w:b/>
          <w:sz w:val="24"/>
          <w:szCs w:val="24"/>
          <w:lang w:eastAsia="ru-RU"/>
        </w:rPr>
        <w:t xml:space="preserve"> </w:t>
      </w:r>
      <w:r w:rsidRPr="00532EBB">
        <w:rPr>
          <w:rFonts w:ascii="Times New Roman" w:hAnsi="Times New Roman"/>
          <w:b/>
          <w:sz w:val="24"/>
          <w:szCs w:val="24"/>
          <w:lang w:eastAsia="ru-RU"/>
        </w:rPr>
        <w:t>О</w:t>
      </w:r>
      <w:r>
        <w:rPr>
          <w:rFonts w:ascii="Times New Roman" w:hAnsi="Times New Roman"/>
          <w:b/>
          <w:sz w:val="24"/>
          <w:szCs w:val="24"/>
          <w:lang w:eastAsia="ru-RU"/>
        </w:rPr>
        <w:t xml:space="preserve"> </w:t>
      </w:r>
      <w:r w:rsidRPr="00532EBB">
        <w:rPr>
          <w:rFonts w:ascii="Times New Roman" w:hAnsi="Times New Roman"/>
          <w:b/>
          <w:sz w:val="24"/>
          <w:szCs w:val="24"/>
          <w:lang w:eastAsia="ru-RU"/>
        </w:rPr>
        <w:t>С</w:t>
      </w:r>
      <w:r>
        <w:rPr>
          <w:rFonts w:ascii="Times New Roman" w:hAnsi="Times New Roman"/>
          <w:b/>
          <w:sz w:val="24"/>
          <w:szCs w:val="24"/>
          <w:lang w:eastAsia="ru-RU"/>
        </w:rPr>
        <w:t xml:space="preserve"> </w:t>
      </w:r>
      <w:r w:rsidRPr="00532EBB">
        <w:rPr>
          <w:rFonts w:ascii="Times New Roman" w:hAnsi="Times New Roman"/>
          <w:b/>
          <w:sz w:val="24"/>
          <w:szCs w:val="24"/>
          <w:lang w:eastAsia="ru-RU"/>
        </w:rPr>
        <w:t>Т</w:t>
      </w:r>
      <w:r>
        <w:rPr>
          <w:rFonts w:ascii="Times New Roman" w:hAnsi="Times New Roman"/>
          <w:b/>
          <w:sz w:val="24"/>
          <w:szCs w:val="24"/>
          <w:lang w:eastAsia="ru-RU"/>
        </w:rPr>
        <w:t xml:space="preserve"> </w:t>
      </w:r>
      <w:r w:rsidRPr="00532EBB">
        <w:rPr>
          <w:rFonts w:ascii="Times New Roman" w:hAnsi="Times New Roman"/>
          <w:b/>
          <w:sz w:val="24"/>
          <w:szCs w:val="24"/>
          <w:lang w:eastAsia="ru-RU"/>
        </w:rPr>
        <w:t>А</w:t>
      </w:r>
      <w:r>
        <w:rPr>
          <w:rFonts w:ascii="Times New Roman" w:hAnsi="Times New Roman"/>
          <w:b/>
          <w:sz w:val="24"/>
          <w:szCs w:val="24"/>
          <w:lang w:eastAsia="ru-RU"/>
        </w:rPr>
        <w:t xml:space="preserve"> </w:t>
      </w:r>
      <w:r w:rsidRPr="00532EBB">
        <w:rPr>
          <w:rFonts w:ascii="Times New Roman" w:hAnsi="Times New Roman"/>
          <w:b/>
          <w:sz w:val="24"/>
          <w:szCs w:val="24"/>
          <w:lang w:eastAsia="ru-RU"/>
        </w:rPr>
        <w:t>Н</w:t>
      </w:r>
      <w:r>
        <w:rPr>
          <w:rFonts w:ascii="Times New Roman" w:hAnsi="Times New Roman"/>
          <w:b/>
          <w:sz w:val="24"/>
          <w:szCs w:val="24"/>
          <w:lang w:eastAsia="ru-RU"/>
        </w:rPr>
        <w:t xml:space="preserve"> </w:t>
      </w:r>
      <w:r w:rsidRPr="00532EBB">
        <w:rPr>
          <w:rFonts w:ascii="Times New Roman" w:hAnsi="Times New Roman"/>
          <w:b/>
          <w:sz w:val="24"/>
          <w:szCs w:val="24"/>
          <w:lang w:eastAsia="ru-RU"/>
        </w:rPr>
        <w:t>О</w:t>
      </w:r>
      <w:r>
        <w:rPr>
          <w:rFonts w:ascii="Times New Roman" w:hAnsi="Times New Roman"/>
          <w:b/>
          <w:sz w:val="24"/>
          <w:szCs w:val="24"/>
          <w:lang w:eastAsia="ru-RU"/>
        </w:rPr>
        <w:t xml:space="preserve"> </w:t>
      </w:r>
      <w:r w:rsidRPr="00532EBB">
        <w:rPr>
          <w:rFonts w:ascii="Times New Roman" w:hAnsi="Times New Roman"/>
          <w:b/>
          <w:sz w:val="24"/>
          <w:szCs w:val="24"/>
          <w:lang w:eastAsia="ru-RU"/>
        </w:rPr>
        <w:t>В</w:t>
      </w:r>
      <w:r>
        <w:rPr>
          <w:rFonts w:ascii="Times New Roman" w:hAnsi="Times New Roman"/>
          <w:b/>
          <w:sz w:val="24"/>
          <w:szCs w:val="24"/>
          <w:lang w:eastAsia="ru-RU"/>
        </w:rPr>
        <w:t xml:space="preserve"> </w:t>
      </w:r>
      <w:r w:rsidRPr="00532EBB">
        <w:rPr>
          <w:rFonts w:ascii="Times New Roman" w:hAnsi="Times New Roman"/>
          <w:b/>
          <w:sz w:val="24"/>
          <w:szCs w:val="24"/>
          <w:lang w:eastAsia="ru-RU"/>
        </w:rPr>
        <w:t>Л</w:t>
      </w:r>
      <w:r>
        <w:rPr>
          <w:rFonts w:ascii="Times New Roman" w:hAnsi="Times New Roman"/>
          <w:b/>
          <w:sz w:val="24"/>
          <w:szCs w:val="24"/>
          <w:lang w:eastAsia="ru-RU"/>
        </w:rPr>
        <w:t xml:space="preserve"> </w:t>
      </w:r>
      <w:r w:rsidRPr="00532EBB">
        <w:rPr>
          <w:rFonts w:ascii="Times New Roman" w:hAnsi="Times New Roman"/>
          <w:b/>
          <w:sz w:val="24"/>
          <w:szCs w:val="24"/>
          <w:lang w:eastAsia="ru-RU"/>
        </w:rPr>
        <w:t>Е</w:t>
      </w:r>
      <w:r>
        <w:rPr>
          <w:rFonts w:ascii="Times New Roman" w:hAnsi="Times New Roman"/>
          <w:b/>
          <w:sz w:val="24"/>
          <w:szCs w:val="24"/>
          <w:lang w:eastAsia="ru-RU"/>
        </w:rPr>
        <w:t xml:space="preserve"> </w:t>
      </w:r>
      <w:r w:rsidRPr="00532EBB">
        <w:rPr>
          <w:rFonts w:ascii="Times New Roman" w:hAnsi="Times New Roman"/>
          <w:b/>
          <w:sz w:val="24"/>
          <w:szCs w:val="24"/>
          <w:lang w:eastAsia="ru-RU"/>
        </w:rPr>
        <w:t>Н</w:t>
      </w:r>
      <w:r>
        <w:rPr>
          <w:rFonts w:ascii="Times New Roman" w:hAnsi="Times New Roman"/>
          <w:b/>
          <w:sz w:val="24"/>
          <w:szCs w:val="24"/>
          <w:lang w:eastAsia="ru-RU"/>
        </w:rPr>
        <w:t xml:space="preserve"> </w:t>
      </w:r>
      <w:r w:rsidRPr="00532EBB">
        <w:rPr>
          <w:rFonts w:ascii="Times New Roman" w:hAnsi="Times New Roman"/>
          <w:b/>
          <w:sz w:val="24"/>
          <w:szCs w:val="24"/>
          <w:lang w:eastAsia="ru-RU"/>
        </w:rPr>
        <w:t>И</w:t>
      </w:r>
      <w:r>
        <w:rPr>
          <w:rFonts w:ascii="Times New Roman" w:hAnsi="Times New Roman"/>
          <w:b/>
          <w:sz w:val="24"/>
          <w:szCs w:val="24"/>
          <w:lang w:eastAsia="ru-RU"/>
        </w:rPr>
        <w:t xml:space="preserve"> </w:t>
      </w:r>
      <w:r w:rsidRPr="00532EBB">
        <w:rPr>
          <w:rFonts w:ascii="Times New Roman" w:hAnsi="Times New Roman"/>
          <w:b/>
          <w:sz w:val="24"/>
          <w:szCs w:val="24"/>
          <w:lang w:eastAsia="ru-RU"/>
        </w:rPr>
        <w:t>Е</w:t>
      </w:r>
    </w:p>
    <w:p w:rsidR="00834266" w:rsidRDefault="00834266" w:rsidP="008342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 наложении административного штрафа по делу № 02-25/13-14.31 </w:t>
      </w:r>
    </w:p>
    <w:p w:rsidR="00834266" w:rsidRDefault="00834266" w:rsidP="00834266">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 xml:space="preserve">об административном правонарушении </w:t>
      </w:r>
      <w:r w:rsidRPr="00532EBB">
        <w:rPr>
          <w:rFonts w:ascii="Times New Roman" w:hAnsi="Times New Roman"/>
          <w:b/>
          <w:sz w:val="24"/>
          <w:szCs w:val="24"/>
          <w:lang w:eastAsia="ru-RU"/>
        </w:rPr>
        <w:t xml:space="preserve"> </w:t>
      </w:r>
    </w:p>
    <w:p w:rsidR="00834266" w:rsidRDefault="00834266" w:rsidP="00834266">
      <w:pPr>
        <w:spacing w:after="0" w:line="240" w:lineRule="auto"/>
        <w:jc w:val="center"/>
        <w:rPr>
          <w:rFonts w:ascii="Times New Roman" w:hAnsi="Times New Roman"/>
          <w:b/>
          <w:sz w:val="24"/>
          <w:szCs w:val="24"/>
          <w:lang w:eastAsia="ru-RU"/>
        </w:rPr>
      </w:pPr>
    </w:p>
    <w:p w:rsidR="00834266" w:rsidRDefault="00834266" w:rsidP="0083426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 Якутск                                                                                                         30 апреля 2013 г.</w:t>
      </w:r>
    </w:p>
    <w:p w:rsidR="00834266" w:rsidRDefault="00834266" w:rsidP="00834266">
      <w:pPr>
        <w:spacing w:after="0" w:line="240" w:lineRule="auto"/>
        <w:jc w:val="both"/>
        <w:rPr>
          <w:rFonts w:ascii="Times New Roman" w:hAnsi="Times New Roman"/>
          <w:sz w:val="24"/>
          <w:szCs w:val="24"/>
          <w:lang w:eastAsia="ru-RU"/>
        </w:rPr>
      </w:pPr>
    </w:p>
    <w:p w:rsidR="00834266" w:rsidRPr="00A7661F" w:rsidRDefault="00834266" w:rsidP="00834266">
      <w:pPr>
        <w:spacing w:line="240" w:lineRule="auto"/>
        <w:ind w:firstLine="567"/>
        <w:contextualSpacing/>
        <w:jc w:val="both"/>
        <w:rPr>
          <w:rFonts w:ascii="Times New Roman" w:hAnsi="Times New Roman"/>
          <w:sz w:val="24"/>
          <w:szCs w:val="24"/>
          <w:lang w:eastAsia="ru-RU"/>
        </w:rPr>
      </w:pPr>
      <w:r w:rsidRPr="00A7661F">
        <w:rPr>
          <w:rFonts w:ascii="Times New Roman" w:hAnsi="Times New Roman"/>
          <w:sz w:val="24"/>
          <w:szCs w:val="24"/>
          <w:lang w:eastAsia="ru-RU"/>
        </w:rPr>
        <w:tab/>
        <w:t>Заместитель руководителя Управления Федеральной антимонопольной службы по Республике Саха (Якутия) О.А.Ярыгина, рассмотрев протокол №02-2</w:t>
      </w:r>
      <w:r>
        <w:rPr>
          <w:rFonts w:ascii="Times New Roman" w:hAnsi="Times New Roman"/>
          <w:sz w:val="24"/>
          <w:szCs w:val="24"/>
          <w:lang w:eastAsia="ru-RU"/>
        </w:rPr>
        <w:t>5</w:t>
      </w:r>
      <w:r w:rsidRPr="00A7661F">
        <w:rPr>
          <w:rFonts w:ascii="Times New Roman" w:hAnsi="Times New Roman"/>
          <w:sz w:val="24"/>
          <w:szCs w:val="24"/>
          <w:lang w:eastAsia="ru-RU"/>
        </w:rPr>
        <w:t xml:space="preserve">/13-14.31 об административном правонарушении, предусмотренном ч.1 ст.14.31 Кодекса РФ об административных правонарушениях составленный в отношении </w:t>
      </w:r>
      <w:r w:rsidRPr="00A7661F">
        <w:rPr>
          <w:rFonts w:ascii="Times New Roman" w:hAnsi="Times New Roman"/>
          <w:sz w:val="24"/>
          <w:szCs w:val="24"/>
        </w:rPr>
        <w:t xml:space="preserve">Открытого акционерного общества «Якутская топливно-энергетическая компания» юридический адрес: 678214, Республика Саха (Якутия), Вилюйский улус, п. Кысыл-Сыр, ул. Ленина д.4., почтовый адрес: 677015, Республика Саха (Якутия), г. Якутск, ул. Петра Алексеева, 76. ОГРН 1021401062187, ИНН 1435032049, </w:t>
      </w:r>
      <w:r w:rsidRPr="00A7661F">
        <w:rPr>
          <w:rFonts w:ascii="Times New Roman" w:hAnsi="Times New Roman"/>
          <w:sz w:val="24"/>
          <w:szCs w:val="24"/>
          <w:lang w:eastAsia="ru-RU"/>
        </w:rPr>
        <w:t>а также иные материалы дела,</w:t>
      </w:r>
    </w:p>
    <w:p w:rsidR="007542A1" w:rsidRDefault="007542A1" w:rsidP="007542A1">
      <w:pPr>
        <w:jc w:val="center"/>
        <w:rPr>
          <w:rFonts w:ascii="Times New Roman" w:hAnsi="Times New Roman"/>
          <w:sz w:val="24"/>
          <w:szCs w:val="24"/>
        </w:rPr>
      </w:pPr>
      <w:r>
        <w:rPr>
          <w:rFonts w:ascii="Times New Roman" w:hAnsi="Times New Roman"/>
          <w:sz w:val="24"/>
          <w:szCs w:val="24"/>
        </w:rPr>
        <w:t xml:space="preserve">у </w:t>
      </w:r>
      <w:r w:rsidR="00834266" w:rsidRPr="007542A1">
        <w:rPr>
          <w:rFonts w:ascii="Times New Roman" w:hAnsi="Times New Roman"/>
          <w:sz w:val="24"/>
          <w:szCs w:val="24"/>
        </w:rPr>
        <w:t>с</w:t>
      </w:r>
      <w:r>
        <w:rPr>
          <w:rFonts w:ascii="Times New Roman" w:hAnsi="Times New Roman"/>
          <w:sz w:val="24"/>
          <w:szCs w:val="24"/>
        </w:rPr>
        <w:t xml:space="preserve"> </w:t>
      </w:r>
      <w:r w:rsidR="00834266" w:rsidRPr="007542A1">
        <w:rPr>
          <w:rFonts w:ascii="Times New Roman" w:hAnsi="Times New Roman"/>
          <w:sz w:val="24"/>
          <w:szCs w:val="24"/>
        </w:rPr>
        <w:t>т</w:t>
      </w:r>
      <w:r>
        <w:rPr>
          <w:rFonts w:ascii="Times New Roman" w:hAnsi="Times New Roman"/>
          <w:sz w:val="24"/>
          <w:szCs w:val="24"/>
        </w:rPr>
        <w:t xml:space="preserve"> </w:t>
      </w:r>
      <w:r w:rsidR="00834266" w:rsidRPr="007542A1">
        <w:rPr>
          <w:rFonts w:ascii="Times New Roman" w:hAnsi="Times New Roman"/>
          <w:sz w:val="24"/>
          <w:szCs w:val="24"/>
        </w:rPr>
        <w:t>а</w:t>
      </w:r>
      <w:r>
        <w:rPr>
          <w:rFonts w:ascii="Times New Roman" w:hAnsi="Times New Roman"/>
          <w:sz w:val="24"/>
          <w:szCs w:val="24"/>
        </w:rPr>
        <w:t xml:space="preserve"> </w:t>
      </w:r>
      <w:r w:rsidR="00834266" w:rsidRPr="007542A1">
        <w:rPr>
          <w:rFonts w:ascii="Times New Roman" w:hAnsi="Times New Roman"/>
          <w:sz w:val="24"/>
          <w:szCs w:val="24"/>
        </w:rPr>
        <w:t>н</w:t>
      </w:r>
      <w:r>
        <w:rPr>
          <w:rFonts w:ascii="Times New Roman" w:hAnsi="Times New Roman"/>
          <w:sz w:val="24"/>
          <w:szCs w:val="24"/>
        </w:rPr>
        <w:t xml:space="preserve"> </w:t>
      </w:r>
      <w:r w:rsidR="00834266" w:rsidRPr="007542A1">
        <w:rPr>
          <w:rFonts w:ascii="Times New Roman" w:hAnsi="Times New Roman"/>
          <w:sz w:val="24"/>
          <w:szCs w:val="24"/>
        </w:rPr>
        <w:t>о</w:t>
      </w:r>
      <w:r>
        <w:rPr>
          <w:rFonts w:ascii="Times New Roman" w:hAnsi="Times New Roman"/>
          <w:sz w:val="24"/>
          <w:szCs w:val="24"/>
        </w:rPr>
        <w:t xml:space="preserve"> </w:t>
      </w:r>
      <w:r w:rsidR="00834266" w:rsidRPr="007542A1">
        <w:rPr>
          <w:rFonts w:ascii="Times New Roman" w:hAnsi="Times New Roman"/>
          <w:sz w:val="24"/>
          <w:szCs w:val="24"/>
        </w:rPr>
        <w:t>в</w:t>
      </w:r>
      <w:r>
        <w:rPr>
          <w:rFonts w:ascii="Times New Roman" w:hAnsi="Times New Roman"/>
          <w:sz w:val="24"/>
          <w:szCs w:val="24"/>
        </w:rPr>
        <w:t xml:space="preserve"> </w:t>
      </w:r>
      <w:r w:rsidR="00834266" w:rsidRPr="007542A1">
        <w:rPr>
          <w:rFonts w:ascii="Times New Roman" w:hAnsi="Times New Roman"/>
          <w:sz w:val="24"/>
          <w:szCs w:val="24"/>
        </w:rPr>
        <w:t>и</w:t>
      </w:r>
      <w:r>
        <w:rPr>
          <w:rFonts w:ascii="Times New Roman" w:hAnsi="Times New Roman"/>
          <w:sz w:val="24"/>
          <w:szCs w:val="24"/>
        </w:rPr>
        <w:t xml:space="preserve"> </w:t>
      </w:r>
      <w:r w:rsidR="00834266" w:rsidRPr="007542A1">
        <w:rPr>
          <w:rFonts w:ascii="Times New Roman" w:hAnsi="Times New Roman"/>
          <w:sz w:val="24"/>
          <w:szCs w:val="24"/>
        </w:rPr>
        <w:t>л:</w:t>
      </w:r>
    </w:p>
    <w:p w:rsidR="007542A1" w:rsidRPr="007542A1" w:rsidRDefault="00834266" w:rsidP="007542A1">
      <w:pPr>
        <w:spacing w:line="240" w:lineRule="auto"/>
        <w:ind w:firstLine="709"/>
        <w:contextualSpacing/>
        <w:jc w:val="both"/>
        <w:rPr>
          <w:rFonts w:ascii="Times New Roman" w:hAnsi="Times New Roman"/>
          <w:sz w:val="24"/>
          <w:szCs w:val="24"/>
        </w:rPr>
      </w:pPr>
      <w:r w:rsidRPr="007542A1">
        <w:rPr>
          <w:rFonts w:ascii="Times New Roman" w:hAnsi="Times New Roman"/>
          <w:sz w:val="24"/>
          <w:szCs w:val="24"/>
        </w:rPr>
        <w:t>В ходе рассмотрения дела №02-7/12А Комиссией Управления Федеральной антимонопольной службы по Республике Саха (Якутия) установлено, что в действиях ОАО «ЯТЭК», занимающего доминирующее положение с долей более 35 процентов по предварительной оценке рынка оптовой реализации газового конденсата стабильного, используемого в качестве котельного топлива, и газоконденсатного печного бытового котельного топлива на территории Республики Саха (Якутия),  содержатся  признаки нарушения ОАО «ЯТЭК» требований пункта 6 части 1 статьи 10 Федерального закона от 26.07.2006 г. №135-ФЗ «О защите конкуренции» путем установления экономически, технологически и иным образом не обоснованных различных цен на газовый конденсат стабильный, используемый в качестве котельного топлива, и газоконденсатное печное бытовое котельное топливо (ГКС и ГПБК), в связи с чем, дело по признакам нарушения ОАО «ЯТЭК» пункта 6 части 1 статьи 10 Федерального закона  «О защите конкуренции» выделено в отдельное производство.</w:t>
      </w:r>
    </w:p>
    <w:p w:rsidR="00DD1FD1" w:rsidRDefault="00834266" w:rsidP="00DD1FD1">
      <w:pPr>
        <w:spacing w:line="240" w:lineRule="auto"/>
        <w:ind w:firstLine="709"/>
        <w:contextualSpacing/>
        <w:jc w:val="both"/>
        <w:rPr>
          <w:rFonts w:ascii="Times New Roman" w:hAnsi="Times New Roman"/>
          <w:sz w:val="24"/>
          <w:szCs w:val="24"/>
        </w:rPr>
      </w:pPr>
      <w:r w:rsidRPr="007542A1">
        <w:rPr>
          <w:rFonts w:ascii="Times New Roman" w:hAnsi="Times New Roman"/>
          <w:sz w:val="24"/>
          <w:szCs w:val="24"/>
        </w:rPr>
        <w:t>28 мая 2012 года приказом №109 Управлением Федеральной антимонопольной службы по Республике Саха (Якутия) выделенному в отдельное производство делу о нарушении антимонопольного законодательства по признакам злоупотребления ОАО «ЯТЭК» своим доминирующим положением, а именно нарушения пункта 6 части 1 статьи 10 Федерального закона «О защите конкуренции», присвоен №02-82/12А.</w:t>
      </w:r>
    </w:p>
    <w:p w:rsidR="008306D8" w:rsidRPr="00DD1FD1" w:rsidRDefault="008306D8" w:rsidP="00DD1FD1">
      <w:pPr>
        <w:spacing w:line="240" w:lineRule="auto"/>
        <w:ind w:firstLine="709"/>
        <w:contextualSpacing/>
        <w:jc w:val="both"/>
        <w:rPr>
          <w:rFonts w:ascii="Times New Roman" w:hAnsi="Times New Roman"/>
          <w:sz w:val="24"/>
          <w:szCs w:val="24"/>
        </w:rPr>
      </w:pPr>
      <w:r w:rsidRPr="00DD1FD1">
        <w:rPr>
          <w:rFonts w:ascii="Times New Roman" w:hAnsi="Times New Roman"/>
          <w:sz w:val="24"/>
          <w:szCs w:val="24"/>
        </w:rPr>
        <w:t xml:space="preserve">06.07.2012г. Комиссия по рассмотрению дела №02-82/12А признала ОАО «Якутская топливно-энергетическая компания» занимающим доминирующее положение с </w:t>
      </w:r>
      <w:r w:rsidRPr="00DD1FD1">
        <w:rPr>
          <w:rFonts w:ascii="Times New Roman" w:hAnsi="Times New Roman"/>
          <w:sz w:val="24"/>
          <w:szCs w:val="24"/>
        </w:rPr>
        <w:lastRenderedPageBreak/>
        <w:t>долей более 50% на товарном рынке оптовой реализации газового конденсата стабильного, применяемого в качестве котельного топлива, и топлива газоконденсатного печного бытового котельного в географических границах Республики Саха (Якутия)</w:t>
      </w:r>
      <w:r w:rsidR="00D73AD5" w:rsidRPr="00DD1FD1">
        <w:rPr>
          <w:rFonts w:ascii="Times New Roman" w:hAnsi="Times New Roman"/>
          <w:sz w:val="24"/>
          <w:szCs w:val="24"/>
        </w:rPr>
        <w:t xml:space="preserve"> и </w:t>
      </w:r>
      <w:r w:rsidRPr="00DD1FD1">
        <w:rPr>
          <w:rFonts w:ascii="Times New Roman" w:hAnsi="Times New Roman"/>
          <w:sz w:val="24"/>
          <w:szCs w:val="24"/>
        </w:rPr>
        <w:t xml:space="preserve"> нарушившим пункт 6 части 1 статьи 10 Федерального закона «О защите конкуренции» посредством установления экономически, технологически иным образом не обоснованных различных цен на газовый конденсат стабильный, применяемый в качестве котельного топлива, в январе, феврале, апреле, июне, сентябре, октябре, декабре 2011 г. в географических границах Республики Саха (Якутия) и топливо газоконденсатное печное бытовое котельное в июне 2011 г. в географических границах Республики Саха (Якутия). </w:t>
      </w:r>
    </w:p>
    <w:p w:rsidR="008306D8" w:rsidRDefault="008306D8" w:rsidP="008306D8">
      <w:pPr>
        <w:spacing w:after="0" w:line="240" w:lineRule="auto"/>
        <w:ind w:firstLine="709"/>
        <w:contextualSpacing/>
        <w:jc w:val="both"/>
        <w:rPr>
          <w:rFonts w:ascii="Times New Roman" w:hAnsi="Times New Roman"/>
          <w:sz w:val="24"/>
          <w:szCs w:val="24"/>
          <w:lang w:eastAsia="ru-RU"/>
        </w:rPr>
      </w:pPr>
      <w:r w:rsidRPr="00A7661F">
        <w:rPr>
          <w:rFonts w:ascii="Times New Roman" w:hAnsi="Times New Roman"/>
          <w:sz w:val="24"/>
          <w:szCs w:val="24"/>
          <w:lang w:eastAsia="ru-RU"/>
        </w:rPr>
        <w:t xml:space="preserve">Согласно части 1 статьи 37 Федерального закона «О защите конкуренции» за нарушение антимонопольного законодательства коммерческие организации несут ответственность, предусмотренную законодательством. </w:t>
      </w:r>
    </w:p>
    <w:p w:rsidR="008306D8" w:rsidRPr="00A7661F" w:rsidRDefault="008306D8" w:rsidP="008306D8">
      <w:pPr>
        <w:spacing w:after="0" w:line="240" w:lineRule="auto"/>
        <w:contextualSpacing/>
        <w:jc w:val="both"/>
        <w:rPr>
          <w:rFonts w:ascii="Times New Roman" w:hAnsi="Times New Roman"/>
          <w:sz w:val="24"/>
          <w:szCs w:val="24"/>
          <w:lang w:eastAsia="ru-RU"/>
        </w:rPr>
      </w:pPr>
      <w:r w:rsidRPr="00A7661F">
        <w:rPr>
          <w:rFonts w:ascii="Times New Roman" w:hAnsi="Times New Roman"/>
          <w:sz w:val="24"/>
          <w:szCs w:val="24"/>
          <w:lang w:eastAsia="ru-RU"/>
        </w:rPr>
        <w:tab/>
        <w:t xml:space="preserve">Статьей 14.31 Кодекса РФ об административных правонарушениях установлена административная ответственность за злоупотребление доминирующим положением на товарном рынке. </w:t>
      </w:r>
    </w:p>
    <w:p w:rsidR="008306D8" w:rsidRPr="00A7661F" w:rsidRDefault="008306D8" w:rsidP="008306D8">
      <w:pPr>
        <w:spacing w:after="0" w:line="240" w:lineRule="auto"/>
        <w:ind w:firstLine="709"/>
        <w:contextualSpacing/>
        <w:jc w:val="both"/>
        <w:rPr>
          <w:rFonts w:ascii="Times New Roman" w:hAnsi="Times New Roman"/>
          <w:sz w:val="24"/>
          <w:szCs w:val="24"/>
        </w:rPr>
      </w:pPr>
      <w:r w:rsidRPr="00A7661F">
        <w:rPr>
          <w:rFonts w:ascii="Times New Roman" w:hAnsi="Times New Roman"/>
          <w:sz w:val="24"/>
          <w:szCs w:val="24"/>
          <w:lang w:eastAsia="ru-RU"/>
        </w:rPr>
        <w:t xml:space="preserve">По факту нарушения ОАО «Якутская топливно-энергетическая компания» пункта </w:t>
      </w:r>
      <w:r w:rsidR="00D73AD5">
        <w:rPr>
          <w:rFonts w:ascii="Times New Roman" w:hAnsi="Times New Roman"/>
          <w:sz w:val="24"/>
          <w:szCs w:val="24"/>
          <w:lang w:eastAsia="ru-RU"/>
        </w:rPr>
        <w:t>6</w:t>
      </w:r>
      <w:r w:rsidRPr="00A7661F">
        <w:rPr>
          <w:rFonts w:ascii="Times New Roman" w:hAnsi="Times New Roman"/>
          <w:sz w:val="24"/>
          <w:szCs w:val="24"/>
          <w:lang w:eastAsia="ru-RU"/>
        </w:rPr>
        <w:t xml:space="preserve"> части 1 статьи 10 Федерального закона «О защите конкуренции» </w:t>
      </w:r>
      <w:r w:rsidRPr="00A7661F">
        <w:rPr>
          <w:rFonts w:ascii="Times New Roman" w:hAnsi="Times New Roman"/>
          <w:sz w:val="24"/>
          <w:szCs w:val="24"/>
        </w:rPr>
        <w:t>16.04.2013г. главным государственным инспектором отдела антимонопольного контроля Управления Федеральной антимонопольной службы по республике Саха (Якутия) Дураевой Н.С. в отношении ОАО «ЯТЭК» составлен протокол об административном правонарушении предусмотренном частью 1 статьи 14.31 Кодекса РФ об административных правонарушениях.</w:t>
      </w:r>
    </w:p>
    <w:p w:rsidR="008306D8" w:rsidRPr="00A7661F" w:rsidRDefault="008306D8" w:rsidP="008306D8">
      <w:pPr>
        <w:spacing w:after="0" w:line="240" w:lineRule="auto"/>
        <w:ind w:firstLine="709"/>
        <w:contextualSpacing/>
        <w:jc w:val="both"/>
        <w:rPr>
          <w:rFonts w:ascii="Times New Roman" w:hAnsi="Times New Roman"/>
          <w:sz w:val="24"/>
          <w:szCs w:val="24"/>
          <w:lang w:eastAsia="ru-RU"/>
        </w:rPr>
      </w:pPr>
      <w:r w:rsidRPr="00A7661F">
        <w:rPr>
          <w:rFonts w:ascii="Times New Roman" w:hAnsi="Times New Roman"/>
          <w:sz w:val="24"/>
          <w:szCs w:val="24"/>
          <w:lang w:eastAsia="ru-RU"/>
        </w:rPr>
        <w:t xml:space="preserve">При составлении протокола об административном правонарушении Дементьев Ю.В., представитель ОАО «ЯТЭК» по доверенности возражений не представил. </w:t>
      </w:r>
    </w:p>
    <w:p w:rsidR="008306D8" w:rsidRPr="00A7661F" w:rsidRDefault="008306D8" w:rsidP="008306D8">
      <w:pPr>
        <w:spacing w:after="0" w:line="240" w:lineRule="auto"/>
        <w:contextualSpacing/>
        <w:jc w:val="both"/>
        <w:rPr>
          <w:rFonts w:ascii="Times New Roman" w:hAnsi="Times New Roman"/>
          <w:sz w:val="24"/>
          <w:szCs w:val="24"/>
          <w:lang w:eastAsia="ru-RU"/>
        </w:rPr>
      </w:pPr>
      <w:r w:rsidRPr="00A7661F">
        <w:rPr>
          <w:rFonts w:ascii="Times New Roman" w:hAnsi="Times New Roman"/>
          <w:sz w:val="24"/>
          <w:szCs w:val="24"/>
          <w:lang w:eastAsia="ru-RU"/>
        </w:rPr>
        <w:tab/>
        <w:t xml:space="preserve">При рассмотрении дела об административном правонарушении Дементьев Ю.В. представитель ОАО ЯТЭК» по доверенности заявил, что общество не признает себя виновным в совершении административного правонарушения  ответственность за которое предусмотрена частью 1 статьи 14.31 Кодекса РФ об административных правонарушениях. </w:t>
      </w:r>
    </w:p>
    <w:p w:rsidR="008306D8" w:rsidRPr="00A7661F" w:rsidRDefault="008306D8" w:rsidP="008306D8">
      <w:pPr>
        <w:spacing w:after="0" w:line="240" w:lineRule="auto"/>
        <w:contextualSpacing/>
        <w:jc w:val="both"/>
        <w:rPr>
          <w:rFonts w:ascii="Times New Roman" w:hAnsi="Times New Roman"/>
          <w:sz w:val="24"/>
          <w:szCs w:val="24"/>
          <w:lang w:eastAsia="ru-RU"/>
        </w:rPr>
      </w:pPr>
      <w:r w:rsidRPr="00A7661F">
        <w:rPr>
          <w:rFonts w:ascii="Times New Roman" w:hAnsi="Times New Roman"/>
          <w:sz w:val="24"/>
          <w:szCs w:val="24"/>
          <w:lang w:eastAsia="ru-RU"/>
        </w:rPr>
        <w:tab/>
        <w:t>Заслушав объяснения представителя лица, в отношении которого возбуждено дело об административном правонарушении, изучив имеющиеся в материалах дела документы, пришел к следующим выводам.</w:t>
      </w:r>
    </w:p>
    <w:p w:rsidR="00834266" w:rsidRPr="00D73AD5" w:rsidRDefault="00D73AD5" w:rsidP="00834266">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 xml:space="preserve">Как следует из материалов дела </w:t>
      </w:r>
      <w:r w:rsidR="00834266" w:rsidRPr="00D73AD5">
        <w:rPr>
          <w:rFonts w:ascii="Times New Roman" w:hAnsi="Times New Roman"/>
          <w:sz w:val="24"/>
          <w:szCs w:val="24"/>
        </w:rPr>
        <w:t>№02-7/12А ОАО «ЯТЭК» представлены:</w:t>
      </w:r>
    </w:p>
    <w:p w:rsidR="00834266" w:rsidRPr="00D73AD5" w:rsidRDefault="00834266" w:rsidP="00834266">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1) письмом от 14.02.2012 №287-14:</w:t>
      </w:r>
    </w:p>
    <w:p w:rsidR="00834266" w:rsidRPr="00D73AD5" w:rsidRDefault="00834266" w:rsidP="00834266">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 ТУ 0271-001-00153815-2011 «Конденсат газовый стабильный» (ТУ 0271-001-00153815-2011), утвержденным 20.01.2011 главным инженером ОАО «ЯТЭК» Р.Р. Бахтияровым и зарегистрированным 04.04.2011 г. Федеральным государственным учреждением «Якутский центр стандартизации, метрологии и сертификации» Федерального агентства по техническому регулированию и метрологии (Росстандарт) (ФГУ «ЯЦСМиС»);</w:t>
      </w:r>
    </w:p>
    <w:p w:rsidR="00834266" w:rsidRPr="00D73AD5" w:rsidRDefault="00834266" w:rsidP="00834266">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 технологический регламент эксплуатации установки по переработке газового конденсата «СВ-1» ЦПГК Средне-Вилюйского ГКМ, утвержденный 10.10.2011 и.о. главного инженера ОАО «ЯТЭК» А.В. Глуховым;</w:t>
      </w:r>
    </w:p>
    <w:p w:rsidR="00834266" w:rsidRPr="00D73AD5" w:rsidRDefault="00834266" w:rsidP="00834266">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 технологический регламент эксплуатации установки по переработке газового конденсата «УПГК-1» ЦПГК Средне-Вилюйского ГКМ, утвержденный в 2011 и.о. главного инженера ОАО «ЯТЭК» А.В. Глуховым;</w:t>
      </w:r>
    </w:p>
    <w:p w:rsidR="00834266" w:rsidRPr="00D73AD5" w:rsidRDefault="00834266" w:rsidP="00834266">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 расчет себестоимости выпуска ГКС и ГПБК за 2010 г., 2011 г. и на 2012 г.</w:t>
      </w:r>
    </w:p>
    <w:p w:rsidR="00834266" w:rsidRPr="00D73AD5" w:rsidRDefault="00834266" w:rsidP="00834266">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2) письмом (вход. рег. №1853 02.04.2012 г.):</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lastRenderedPageBreak/>
        <w:t>- карточки счета 43 бухгалтерского учета наличия и движения готовой продукции, в частности ГКС и ГПБК (покупного);</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xml:space="preserve">3) письмом (вход.рег. №2425 20.04.2012): </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карточки счета 90.01 бухгалтерского учета выручки от продажи товаров, продукции, выполнения работ, оказания услуг и др., в частности ГКС и ГПБК (покупного);</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карточки счета 90.02 бухгалтерского учета себестоимости реализованных товаров, продукции, выполнения работ, оказания услуг и др., в частности ГКС и ГПБК (покупного);</w:t>
      </w:r>
    </w:p>
    <w:p w:rsidR="00834266" w:rsidRPr="00D73AD5" w:rsidRDefault="00834266" w:rsidP="00834266">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 расчет себестоимости выпуска ГКС и ГПБК за 2010 г., 2011 г. и на 2012 г. (в разрезе кварталов);</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решение Арбитражного суда РС (Я) от 26.07.2010 г. по делу №А58-3026/2009;</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договор от 20.12.2010 г. №996/30-10/8263 с ГУП ЖКХ РС (Я);</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счет-фактура от 16.06.2011 г. №777;</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товарная накладная от 16.06.2011 №441;</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договор от 04.06.2010 г. №46/39-10 с ОАО «Саханефтегазсбыт»;</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счет-фактура от 16.06.2011 г. №776;</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товарная накладная от 16.06.2011 г. №440;</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4) письмом от 18.05.2012 г. №1129-15:</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бухгалтерскую справку 2710 от 01.11.2010 г. об отражении движения МПЗ согласно решению АС РС (Я) от 26.07.2010 г. по делу №А58-3026/2009 по ЗАО НК Якол;</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xml:space="preserve">- карточку счета 41 бухгалтерского учета наличия и движения товара на продажу по номенклатурной группе «топливо котельное газоконденсатное» за 2011 г. </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В материалах дела также имеются следующие договоры поставки газоконденсатного топлива:</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xml:space="preserve"> - ФКП «Аэропорты Севера» договор от 17.01.2011 №ПОС-10-11/103 (10/30-11 от 17.01.2011) представлено письмом от 21.02.2012 №467;</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МУП «Жилищно-коммунальные системы Хангаласского улуса» договор от 23.12.2010 №1015/30-10 (дополнительное соглашение от 31.10.2011 №1271/09-11) представлено письмом от 07.02.2012 №35;</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ООО «Управляющая компания Эрэл» договор от 19.01.2011 №14/30-11 представлено письмом от 21.02.2012 №32;</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ГУП «ЖКХ РС (Я)» договор от 20.12.2010 №8263 (996/30-10 от 16.12.2010) представлено письмом от 10.02.2012 №01-510/41;</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ОАО «Саханефтегазсбыт» договор от 04.06.2010 №461/39-10 представлено письмом от 14.03.2012 №03/1-02-175;</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ООО «Кыым» договор от 27.01.2011 №27/30-11 (дополнительное соглашение от 01.09.2011 №1) представлено письмом от 15.02.2012 №4.</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xml:space="preserve">Согласно данным карточки счета 90.01.1 «Выручка от реализации газового конденсата» за 2011 г., подтверждающимися первичными документами (счета-фактуры, товарные счета, счета на оплату) ОАО «ЯТЭК» устанавливались следующие цены реализации на газовый конденсат стабильный, используемый в качестве котельного топлива на территории РС (Я): </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1) в январе 2011 г. отпуск топлива производился по следующим ценам:</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lastRenderedPageBreak/>
        <w:t>- по договорам, заключенным на 2010 год, по цене 7958,27 руб./тн. (с НДС) всего реализовано 137,137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8780,08 руб./тн. (с учетом НДС 18%) реализовано ООО «Управляющая компания Эрэл» по договору от 19.01.2011 №14/30-11 в количестве 120,558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8821,84 руб./тн. (с учетом НДС 18%) реализовано ООО «Управляющая компания Эрэл» по договору от 19.01.2011 №14/30-11 в количестве 184,621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ОАО «Нюрбинская птицефабрика» по договору №1046/30-10 от 29.12.10 в количестве 7,624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ООО «Управляющая компания Эрэл» по договору от 19.01.2011 №14/30-11 в количестве 36,768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ГУП «ЖКХ РС (Я)» по договору от 20.12.2010 №8263 (996/30-10 от 16.12.2010) в количестве 4483,547 тн., что подтверждается счетами-фактурами №67- 73 от 31.01.2011 и товарными накладными от 31.01.2011 №45-51, предъявленными ОАО «ЯТЭК» покупателю (представлены в материалы дела ГУП «ЖКХ РС (Я)» письмами от 14.06.2012 №774орно, от 27.03.2012 №347-ю);</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Всего в январе 2011 г. ОАО «ЯТЭК» реализовано газового конденсата стабильного, используемого в качестве котельного топлива в РС (Я),  4970,255 тонн вышеуказанным хозяйствующим субъектам.</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2) в феврале 2011 г. отпуск топлива производился по следующим ценам:</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договорам, заключенным на 2010 год, по цене 7958,27 руб./тн. (с НДС) реализовано топливо ИП Алексееву Ю.Е. (№26/39-10 от 29.01.2010 г.) – 1,44 тн.; ООО «Жемкон» (Договор № 1040/39-09 от 15.12.09) – 11,97 тн.; ГУП «ЖКХ РС (Я)» (№1072/39-09 от 30.12.2009г. (58/09/2010-ЯГП от 17.12.2009г.)) – 19,681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ОАО «Нюрбинская птицефабрика» по договору №1046/30-10 от 29.12.10 в количестве 6,706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ООО «Кыым» по договору от 27.01.2011 №27/30-11 в количестве 53,809 тн., что подтверждается счет-фактурой №265 от 03.02.2011, предъявленными ОАО «ЯТЭК» покупателю (представлены в материалы дела ООО «Кыым» письмом от 14.06.2012 №3);</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ПК «Эльгяйский» по договору № 02/30-11 от 13.01.11в количестве 15,698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МУП «Жилищно -коммунальные системы Хангаласского улуса» по договору от 23.12.2010 №1015/30-10 в количестве 22,135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ОАО «Нюрбинский пищекомбинат» по договору  №60/30-11 от 14.02.11 в количестве 15,17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ООО «Управляющая компания Эрэл» по договору от 19.01.2011 №14/30-11 в количестве 728,25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12000 руб./тн. (с учетом НДС 18%) реализовано Татаринову Я.И. по договору №39/30-11 от 03.02.11 в количестве 22,184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xml:space="preserve">- по цене 12564 руб/тн. (с учетом НДС 18%) реализовано ФКП «Аэропорты Севера» по договору от 17.01.2011 №ПОС-10-11/103 (10/30-11 от 17.01.2011) в количестве 365,052 тн., что подтверждается счетами-фактурами №287, 288, 289 от 28.02.2011 и товарными накладными от 28.02.2011 № 108, 109, 110, предъявленными ОАО «ЯТЭК» </w:t>
      </w:r>
      <w:r w:rsidRPr="00D73AD5">
        <w:rPr>
          <w:rFonts w:ascii="Times New Roman" w:hAnsi="Times New Roman"/>
          <w:sz w:val="24"/>
          <w:szCs w:val="24"/>
        </w:rPr>
        <w:lastRenderedPageBreak/>
        <w:t>покупателю (представлены в материалы дела ФКП «Аэропорты Севера» письмом от 14.06.2012 №1586);</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ГУП «ЖКХ РС (Я)» по договору от 20.12.2010 №8263 (996/30-10 от 16.12.2010) в количестве 5858,612 тн., что подтверждается счетами-фактурами №295-299, 301-305 от 28.02.2011, предъявленными ОАО «ЯТЭК» покупателю (представлены в материалы дела ГУП «ЖКХ РС (Я)» письмами от 14.06.2012 №774орно, от 27.03.2012 №347-ю);</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Всего в феврале 2011 г. ОАО «ЯТЭК» реализовано газового конденсата стабильного, используемого в качестве котельного топлива в РС (Я),  7101,026 тонн вышеуказанным хозяйствующим субъектам.</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3) в марте 2011 г.:</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ОАО «Нюрбинский пищекомбинат» по договору  №60/30-11 от 14.02.11 в количестве 30,05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ООО «Жемкон» по договору от 13.01.2011 №04/30-11 в количестве 15,007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ООО «Управляющая компания Эрэл» по договору от 19.01.2011 №14/30-11 в количестве 597,187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ГУП «ЖКХ РС (Я)» по договору от 20.12.2010 №8263 (996/30-10 от 16.12.2010) в количестве 3855,012 тн., что подтверждается счетами-фактурами №484, 486, 487, 480-483, 485, 488-490 от 31.03.2011, предъявленными ОАО «ЯТЭК» покупателю (представлены в материалы дела ГУП «ЖКХ РС (Я)» письмами от 14.06.2012 №774орно, от 27.03.2012 №347-ю);</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Всего в марте 2011 г. ОАО «ЯТЭК» реализовано газового конденсата стабильного, используемого в качестве котельного топлива в РС (Я),  4713,325 тонн вышеуказанным хозяйствующим субъектам.</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4) в апреле 2011 г.:</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12564 руб/тн. (с учетом НДС 18%) реализовано ФКП «Аэропорты Севера» по договору от 17.01.2011 №ПОС-10-11/103 (10/30-11 от 17.01.2011) в количестве 25,215 тн., что подтверждается счет-фактурой №572 от 05.04.2011 и товарной накладной от 05.04.2011 № 289, предъявленными ОАО «ЯТЭК» покупателю (представлены в материалы дела ФКП «Аэропорты Севера» письмом от 14.06.2012 №1586);</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ООО «Жемкон» по договору от 13.01.2011 №04/30-11 в количестве 29,542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МУП «Жилищно -коммунальные системы Хангаласского улуса» по договору от 23.12.2010 №1015/30-10 в количестве 22,722 тн., что подтверждается счет-фактурой №587 от 15.04.2011 и товарной накладной от 15.04.2011 №304, предъявленными ОАО «ЯТЭК» покупателю (представлены в материалы дела МУП «ЖКС Хангаласского улуса» письмом от 09.06.2012 №177);</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ООО «Управляющая компания Эрэл» по договору от 19.01.2011 №14/30-11 в количестве 46,5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xml:space="preserve">- по цене 9072,43 руб/тн. (с учетом НДС 18%) реализовано ГУП «ЖКХ РС (Я)» по договору от 20.12.2010 №8263 (996/30-10 от 16.12.2010) в количестве 2209,231 тн., что подтверждается счетами-фактурами №610, 611, 612, 613, 614, 615, 616 от 30.04.2011 и товарными накладными от 30.04.2011 №327, 330, 331, 332, 333, 334, 335, предъявленными </w:t>
      </w:r>
      <w:r w:rsidRPr="00D73AD5">
        <w:rPr>
          <w:rFonts w:ascii="Times New Roman" w:hAnsi="Times New Roman"/>
          <w:sz w:val="24"/>
          <w:szCs w:val="24"/>
        </w:rPr>
        <w:lastRenderedPageBreak/>
        <w:t>ОАО «ЯТЭК» покупателю (представлены в материалы дела ГУП «ЖКХ РС (Я)» письмами от 14.06.2012 №774орно, от 27.03.2012 №347-ю);</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Всего за апрель 2011 г. ОАО «ЯТЭК» реализовано газового конденсата стабильного, используемого в качестве котельного топлива в РС (Я), в количестве 2333,21 тонн вышеуказанным хозяйствующим субъектам.</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5) в мае 2011 г.:</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ООО «Жемкон» по договору от 13.01.2011 №04/30-11 в количестве 7,333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ГУП «ЖКХ РС (Я)» по договору от 20.12.2010 №8263 (996/30-10 от 16.12.2010) в количестве 2621,991 тн., что подтверждается счет-фактурой №719 от 31.05.2011, предъявленной ОАО «ЯТЭК» покупателю (представлены в материалы дела ГУП «ЖКХ РС (Я)» письмами от 14.06.2012 №774орно, от 27.03.2012 №347-ю);</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Всего за май 2011 г. ОАО «ЯТЭК» реализовано газового конденсата стабильного, используемого в качестве котельного топлива в РС (Я), в количестве 2629,324 тонн вышеуказанным хозяйствующим субъектам.</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6) в июне 2011 г.:</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17995 руб/тн. (с учетом НДС 18%) реализовано ФКП «Аэропорты Севера» по договору от 17.01.2011 №ПОС-10-11/103 (10/30-11 от 17.01.2011) в количестве 140,0 тн., что подтверждается счет-фактурой №784 от 18.06.2011 и товарной накладной от 18.06.2011 № 448, предъявленными ОАО «ЯТЭК» покупателю (представлены в материалы дела ФКП «Аэропорты Севера» письмом от 14.06.2012 №1586);</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17995 руб/тн. (с учетом НДС 18%) реализовано ОАО «Саханефтегазсбыт» по договору от 04.06.2010 №461/39-10 в количестве 500,0 тн., что подтверждается счетами-фактурами №750 от 01.06.2011, №832 от 30.06.2011 и товарными накладными от 01.06.2011 №414, от 30.06.2011 №496, предъявленными ОАО «ЯТЭК» покупателю (представлены в материалы дела ОАО «Саханефтегазсбыт» письмом от 13.06.2012 №07-04/583);</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17995 руб/тн. (с учетом НДС 18%) реализовано ООО «Строительное управление-888» по договору от 22.03.2010 №189/39-10 в количестве 6,714 тн., что подтверждается счет-фактурой №1206 от 23.06.2011, предъявленной ОАО «ЯТЭК» покупателю (представлены в материалы дела ООО «СУ-888» письмом от 14.06.2012 №322);</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ГУП «ЖКХ РС (Я)» по договору от 20.12.2010 №8263 (996/30-10 от 16.12.2010) в количестве 20173,29 тн., что подтверждается счетами-фактурами №751 от 01.06.2011, 753 от 06.06.2011, 754 от 08.06.2011, 769 от 09.06.2011, 771 от 11.06.2011, 772 от 14.06.2011, 778-783 от 14, 16, 17, 18.06.2011, 786 от 22.06.2011, 812 от 23.06.2011, 813 от 28.06.2011, 831 от 30.06.2011 и товарными накладными №415, 417, 418, 433, 436, 442-447, 450, 476, 477, 495 от соответствующих дат, предъявленными ОАО «ЯТЭК» покупателю (представлены в материалы дела ГУП «ЖКХ РС (Я)» письмами от 14.06.2012 №774орно, от 27.03.2012 №347-ю);</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Всего за июнь 2011 г. ОАО «ЯТЭК» реализовано газового конденсата стабильного, используемого в качестве котельного топлива в РС (Я), в количестве 20820,004 тонны вышеуказанным хозяйствующим субъектам.</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lastRenderedPageBreak/>
        <w:t>7) в июле ОАО «ЯТЭК» реализация газового конденсата стабильного, используемого в качестве котельного топлива в РС (Я), не производилась.</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8) в августе:</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17995 руб/тн. (с учетом НДС 18%) реализовано ОАО «Саханефтегазсбыт» по договору от 04.06.2010 №461/39-10 в количестве 5,097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17995 руб/тн. (с учетом НДС 18%) реализовано ООО «Сарыал» по договору № 828/30-10 от 15.10.10 в количестве 0,243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Всего за август 2011 г. ОАО «ЯТЭК» реализовано газового конденсата стабильного, используемого в качестве котельного топлива в РС (Я), в количестве 5,34 тонны вышеуказанным хозяйствующим субъектам.</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9) в сентябре 2011 г.:</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15000 руб/тн. (с учетом НДС 18%) реализовано ООО «Кыым» по договору от 27.01.2011 №27/30-11 (дополнительное соглашение от 01.09.2011 №1) в количестве 29,819 тн., что подтверждается счетами-фактурами №1875 от 12.09.2011, №1876 от 23.09.2011 и товарными накладными №1875 от 12.09.2011, №1876 от 23.09.2011, предъявленными ОАО «ЯТЭК» покупателю (представлены в материалы дела ООО «Кыым» письмом от 14.06.2012 №3);</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ООО «Жемкон» по договору от 13.01.2011 №04/30-11 в количестве 8,411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Всего за сентябрь 2011 г. ОАО «ЯТЭК» реализовано газового конденсата стабильного, используемого в качестве котельного топлива в РС (Я), в количестве 38,23 тонны вышеуказанным хозяйствующим субъектам.</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10) в октябре 2011 г.:</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12500,0 руб/тн. (с учетом НДС 18%) реализовано МУП «Жилищно -коммунальные системы Хангаласского улуса» по договору от 23.12.2010 №1015/30-10 (дополнительное соглашение от 31.10.2011 №1271/09-11) в количестве 18,127 тн., что подтверждается счет-фактурой №2064 от 21.10.2011 и товарной накладной от 21.10.2011 №2064, предъявленными ОАО «ЯТЭК» покупателю (представлены в материалы дела МУП «ЖКС Хангаласского улуса» письмом от 09.06.2012 №177) вышеуказанным хозяйствующим субъектам;</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ООО «Жемкон» по договору от 13.01.2011 №04/30-11 в количестве 18,299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ГУП «ЖКХ РС (Я)» по договору от 20.12.2010 №8263 (996/30-10 от 16.12.2010) в количестве 8,556 тн., что подтверждается счет-фактурой №1367 от 31.10.2011 и товарной накладной от 31.10.2011 №794, предъявленными ОАО «ЯТЭК» покупателю (представлены в материалы дела ГУП «ЖКХ РС (Я)» письмами от 14.06.2012 №774орно, от 27.03.2012 №347-ю);</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Всего за октябрь 2011 г. ОАО «ЯТЭК» реализовано газового конденсата стабильного, используемого в качестве котельного топлива в РС (Я), в количестве 44,982 тонны вышеуказанным хозяйствующим субъектам.</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11) в ноябре 2011 г.:</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ООО «Жемкон» по договору от 13.01.2011 №04/30-11 в количестве 17,263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xml:space="preserve">- по цене 9072,43 руб/тн. (с учетом НДС 18%) реализовано ГУП «ЖКХ РС (Я)» по договору от 20.12.2010 №8263 (996/30-10 от 16.12.2010) в количестве 145,997 тн., что </w:t>
      </w:r>
      <w:r w:rsidRPr="00D73AD5">
        <w:rPr>
          <w:rFonts w:ascii="Times New Roman" w:hAnsi="Times New Roman"/>
          <w:sz w:val="24"/>
          <w:szCs w:val="24"/>
        </w:rPr>
        <w:lastRenderedPageBreak/>
        <w:t>подтверждается счетами-фактурами №1401, 1402 от 23.11.2011, № 1414, 1415 от 30.11.2011, предъявленными ОАО «ЯТЭК» покупателю (представлены в материалы дела ГУП «ЖКХ РС (Я)» письмами от 14.06.2012 №774орно, от 27.03.2012 №347-ю);</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Всего за ноябрь 2011 г. ОАО «ЯТЭК» реализовано газового конденсата стабильного, используемого в качестве котельного топлива в РС (Я), в количестве 394,819 тонны вышеуказанным хозяйствующим субъектам.</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12) в декабре 2011 г.:</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17995 руб/тн. (с учетом НДС 18%) реализовано ООО «СахаКоммунСнаб» по договору от 06.12.2011 №1516/09/-11 в количестве 44,344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15000 руб/тн. (с учетом НДС 18%) реализовано ООО «Кыым» по договору от 27.01.2011 №27/30-11 (дополнительное соглашение от 01.09.2011 №1) в количестве 30,957 тн., что подтверждается счет-фактурой №2445 от 21.12.2011 и товарными накладными №2445 от 21.12.2011, №2449 от 23.12.2011, предъявленными ОАО «ЯТЭК» покупателю (представлены в материалы дела ООО «Кыым» письмом от 14.06.2012 №3);</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15000 руб/тн. (с учетом НДС 18%) реализовано СХПК «Байар» по договору от 14.09.2011 №1044/09-11 в количестве 16,022 тн., что подтверждается спецификацией №1 от 14.09.2011 к указанному договору (представлены в материалы дела СХПК «Байар» письмом от 14.06.2012 №321);</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12500,0 руб/тн. (с учетом НДС 18%) реализовано МУП «Жилищно -коммунальные системы Хангаласского улуса» по договору от 23.12.2010 №1015/30-10 (дополнительное соглашение от 31.10.2011 №1271/09-11) в количестве 45,982 тн., что подтверждается счет-фактурой №2376 от 07.12.2011 и товарной накладной от 07.12.2011 №2376, предъявленными ОАО «ЯТЭК» покупателю (представлены в материалы дела МУП «ЖКС Хангаласского улуса» письмом от 09.06.2012 №177);</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ООО «Жемкон» по договору от 13.01.2011 №04/30-11 в количестве 71,241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9072,43 руб/тн. (с учетом НДС 18%) реализовано ГУП «ЖКХ РС (Я)» по договору от 27.10.2011 №1277/09-11 в количестве 54,846 тн., что подтверждается счет-фактурой №1568 от 31.12.2011 и товарной накладной от 31.12.2011 №951, предъявленными ОАО «ЯТЭК» покупателю (представлены в материалы дела ГУП «ЖКХ РС (Я)» письмами от 14.06.2012 №774орно, от 27.03.2012 №347-ю);</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18500 руб./тн. (с учетом НДС 18%) реализовано ФКП «Аэропорты Севера» по договорам от 30.12.2011 № 1753/09-11, 1754/09-11, 1755/09-11 (по результатам открытого аукциона) в количестве 600,0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по цене 19333,33 руб./тн. (с учетом НДС 18%) реализовано ООО «Центр логистического обслуживания» по договору N 1756/09-11 от 18.01.12 (по результатам открытого аукциона) в количестве 900,0 тн.</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Всего за декабрь 2011 г. ОАО «ЯТЭК» реализовано газового конденсата стабильного, используемого в качестве котельного топлива в РС (Я), в количестве 1763,392 тонны вышеуказанным хозяйствующим субъектам.</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xml:space="preserve">Анализ вышеперечисленных договоров поставки газоконденсатного котельного топлива (ГКТ)  показал, что по всем покупателям  отпуск ГКТ производится путем отгрузки на предоставленный Покупателем автомобильный транспорт из резервуаров склада ОАО «ЯТЭК» в п. Кысыл-Сыр, а в период навигации - путем отгрузки на суда. </w:t>
      </w:r>
      <w:r w:rsidRPr="00D73AD5">
        <w:rPr>
          <w:rFonts w:ascii="Times New Roman" w:hAnsi="Times New Roman"/>
          <w:sz w:val="24"/>
          <w:szCs w:val="24"/>
        </w:rPr>
        <w:lastRenderedPageBreak/>
        <w:t>Право собственности на каждую партию котельного топлива, отгруженную в транспортное средство Покупателя, риск ее случайной гибели либо/или ухудшение его качества переходят к покупателю с момента исполнения обязательств по передаче Покупателю каждой партии котельного топлива, оформленной товарно-транспортной накладной.</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Расчет за продукцию производится в порядке предварительной оплаты денежными средствами на расчетный счет Поставщика, в размере 100 процентов на основании предоставленных Поставщиком счетов.</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Из вышеизложенного следует, что различия между покупателями по участию в обращении товара по форме и моменту оплаты отсутствуют – для всех покупателей договорами установлено обязательство по  предварительной оплате за приобретаемое топливо ГКС путем перечисления на расчетный счет Поставщика.</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Согласно ТУ 0271-001-00153815-2011 конденсат газовый стабильный представляет собой смесь углеводородов метанового, нафтенового и ароматического ряда, прозрачную или желтоватую, легковоспламеняющуюся жидкость с плотностью при 20</w:t>
      </w:r>
      <w:r w:rsidRPr="00D73AD5">
        <w:rPr>
          <w:rFonts w:ascii="Times New Roman" w:hAnsi="Times New Roman"/>
          <w:sz w:val="24"/>
          <w:szCs w:val="24"/>
          <w:vertAlign w:val="superscript"/>
        </w:rPr>
        <w:t>0</w:t>
      </w:r>
      <w:r w:rsidRPr="00D73AD5">
        <w:rPr>
          <w:rFonts w:ascii="Times New Roman" w:hAnsi="Times New Roman"/>
          <w:sz w:val="24"/>
          <w:szCs w:val="24"/>
        </w:rPr>
        <w:t>С 753,3 кг/м3 и температурой застывания ниже минус 65</w:t>
      </w:r>
      <w:r w:rsidRPr="00D73AD5">
        <w:rPr>
          <w:rFonts w:ascii="Times New Roman" w:hAnsi="Times New Roman"/>
          <w:sz w:val="24"/>
          <w:szCs w:val="24"/>
          <w:vertAlign w:val="superscript"/>
        </w:rPr>
        <w:t>0</w:t>
      </w:r>
      <w:r w:rsidRPr="00D73AD5">
        <w:rPr>
          <w:rFonts w:ascii="Times New Roman" w:hAnsi="Times New Roman"/>
          <w:sz w:val="24"/>
          <w:szCs w:val="24"/>
        </w:rPr>
        <w:t>С и предназначен для использования в качестве сырья на нефтеперерабатывающих и газоперерабатывающих заводах, либо в качестве топлива для эксплуатации стационарных котельных установок только на территории Республики Саха (Якутия). ГКС по физико-химическим показателям должен соответствовать требованиям и нормам, указанным в таблице 1.</w:t>
      </w:r>
    </w:p>
    <w:p w:rsidR="00834266" w:rsidRPr="00D73AD5" w:rsidRDefault="00834266" w:rsidP="00834266">
      <w:pPr>
        <w:adjustRightInd w:val="0"/>
        <w:ind w:firstLine="709"/>
        <w:contextualSpacing/>
        <w:jc w:val="right"/>
        <w:outlineLvl w:val="2"/>
        <w:rPr>
          <w:rFonts w:ascii="Times New Roman" w:hAnsi="Times New Roman"/>
          <w:sz w:val="24"/>
          <w:szCs w:val="24"/>
        </w:rPr>
      </w:pPr>
      <w:r w:rsidRPr="00D73AD5">
        <w:rPr>
          <w:rFonts w:ascii="Times New Roman" w:hAnsi="Times New Roman"/>
          <w:sz w:val="24"/>
          <w:szCs w:val="24"/>
        </w:rPr>
        <w:t>Таблица 1.</w:t>
      </w:r>
    </w:p>
    <w:p w:rsidR="00834266" w:rsidRPr="00D73AD5" w:rsidRDefault="00834266" w:rsidP="00834266">
      <w:pPr>
        <w:jc w:val="center"/>
        <w:rPr>
          <w:rFonts w:ascii="Times New Roman" w:hAnsi="Times New Roman"/>
          <w:sz w:val="24"/>
          <w:szCs w:val="24"/>
        </w:rPr>
      </w:pPr>
      <w:r w:rsidRPr="00D73AD5">
        <w:rPr>
          <w:rFonts w:ascii="Times New Roman" w:hAnsi="Times New Roman"/>
          <w:sz w:val="24"/>
          <w:szCs w:val="24"/>
        </w:rPr>
        <w:t>Физико-химические показатели ГКС, производимого ОАО «ЯТЭК»</w:t>
      </w:r>
    </w:p>
    <w:tbl>
      <w:tblPr>
        <w:tblW w:w="9371" w:type="dxa"/>
        <w:tblInd w:w="93" w:type="dxa"/>
        <w:tblLook w:val="04A0"/>
      </w:tblPr>
      <w:tblGrid>
        <w:gridCol w:w="540"/>
        <w:gridCol w:w="6705"/>
        <w:gridCol w:w="2126"/>
      </w:tblGrid>
      <w:tr w:rsidR="00834266" w:rsidRPr="00D73AD5" w:rsidTr="007542A1">
        <w:trPr>
          <w:cantSplit/>
          <w:trHeight w:val="517"/>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N п/п</w:t>
            </w:r>
          </w:p>
        </w:tc>
        <w:tc>
          <w:tcPr>
            <w:tcW w:w="6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 xml:space="preserve">Наименование показателей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Показатели ГКС</w:t>
            </w:r>
          </w:p>
        </w:tc>
      </w:tr>
      <w:tr w:rsidR="00834266" w:rsidRPr="00D73AD5" w:rsidTr="007542A1">
        <w:trPr>
          <w:trHeight w:val="51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p>
        </w:tc>
        <w:tc>
          <w:tcPr>
            <w:tcW w:w="6705" w:type="dxa"/>
            <w:vMerge/>
            <w:tcBorders>
              <w:top w:val="single" w:sz="4" w:space="0" w:color="auto"/>
              <w:left w:val="single" w:sz="4" w:space="0" w:color="auto"/>
              <w:bottom w:val="single" w:sz="4" w:space="0" w:color="auto"/>
              <w:right w:val="single" w:sz="4" w:space="0" w:color="auto"/>
            </w:tcBorders>
            <w:vAlign w:val="center"/>
            <w:hideMark/>
          </w:tcPr>
          <w:p w:rsidR="00834266" w:rsidRPr="00D73AD5" w:rsidRDefault="00834266" w:rsidP="007542A1">
            <w:pPr>
              <w:spacing w:line="240" w:lineRule="atLeast"/>
              <w:contextualSpacing/>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34266" w:rsidRPr="00D73AD5" w:rsidRDefault="00834266" w:rsidP="007542A1">
            <w:pPr>
              <w:spacing w:line="240" w:lineRule="atLeast"/>
              <w:contextualSpacing/>
              <w:rPr>
                <w:rFonts w:ascii="Times New Roman" w:hAnsi="Times New Roman"/>
                <w:color w:val="000000"/>
                <w:sz w:val="24"/>
                <w:szCs w:val="24"/>
              </w:rPr>
            </w:pPr>
          </w:p>
        </w:tc>
      </w:tr>
      <w:tr w:rsidR="00834266" w:rsidRPr="00D73AD5" w:rsidTr="007542A1">
        <w:trPr>
          <w:trHeight w:val="22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1</w:t>
            </w:r>
          </w:p>
        </w:tc>
        <w:tc>
          <w:tcPr>
            <w:tcW w:w="6705"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 xml:space="preserve">Давление насыщенных паров, мм. рт. ст., не более             </w:t>
            </w:r>
          </w:p>
        </w:tc>
        <w:tc>
          <w:tcPr>
            <w:tcW w:w="2126" w:type="dxa"/>
            <w:tcBorders>
              <w:top w:val="nil"/>
              <w:left w:val="nil"/>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700</w:t>
            </w:r>
          </w:p>
        </w:tc>
      </w:tr>
      <w:tr w:rsidR="00834266" w:rsidRPr="00D73AD5" w:rsidTr="007542A1">
        <w:trPr>
          <w:trHeight w:val="28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2</w:t>
            </w:r>
          </w:p>
        </w:tc>
        <w:tc>
          <w:tcPr>
            <w:tcW w:w="6705"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 xml:space="preserve">Кинематическая вязкость, мм2/с: при 20 град. С, не более                          </w:t>
            </w:r>
          </w:p>
        </w:tc>
        <w:tc>
          <w:tcPr>
            <w:tcW w:w="2126" w:type="dxa"/>
            <w:tcBorders>
              <w:top w:val="nil"/>
              <w:left w:val="nil"/>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1,5</w:t>
            </w:r>
          </w:p>
        </w:tc>
      </w:tr>
      <w:tr w:rsidR="00834266" w:rsidRPr="00D73AD5" w:rsidTr="007542A1">
        <w:trPr>
          <w:trHeight w:val="23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3</w:t>
            </w:r>
          </w:p>
        </w:tc>
        <w:tc>
          <w:tcPr>
            <w:tcW w:w="6705"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Температура вспышки, в закрытом тигле, град. С, не ниже</w:t>
            </w:r>
          </w:p>
        </w:tc>
        <w:tc>
          <w:tcPr>
            <w:tcW w:w="2126" w:type="dxa"/>
            <w:tcBorders>
              <w:top w:val="nil"/>
              <w:left w:val="nil"/>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«минус»60</w:t>
            </w:r>
          </w:p>
        </w:tc>
      </w:tr>
      <w:tr w:rsidR="00834266" w:rsidRPr="00D73AD5" w:rsidTr="007542A1">
        <w:trPr>
          <w:trHeight w:val="1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4</w:t>
            </w:r>
          </w:p>
        </w:tc>
        <w:tc>
          <w:tcPr>
            <w:tcW w:w="6705"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 xml:space="preserve">Температура застывания, град. С, не выше   </w:t>
            </w:r>
          </w:p>
        </w:tc>
        <w:tc>
          <w:tcPr>
            <w:tcW w:w="2126"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 xml:space="preserve">«минус»60     </w:t>
            </w:r>
          </w:p>
        </w:tc>
      </w:tr>
      <w:tr w:rsidR="00834266" w:rsidRPr="00D73AD5" w:rsidTr="007542A1">
        <w:trPr>
          <w:trHeight w:val="24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5</w:t>
            </w:r>
          </w:p>
        </w:tc>
        <w:tc>
          <w:tcPr>
            <w:tcW w:w="6705"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Температура начала перегонки, град. С,  не ниже</w:t>
            </w:r>
          </w:p>
        </w:tc>
        <w:tc>
          <w:tcPr>
            <w:tcW w:w="2126" w:type="dxa"/>
            <w:tcBorders>
              <w:top w:val="nil"/>
              <w:left w:val="nil"/>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w:t>
            </w:r>
          </w:p>
        </w:tc>
      </w:tr>
      <w:tr w:rsidR="00834266" w:rsidRPr="00D73AD5" w:rsidTr="007542A1">
        <w:trPr>
          <w:trHeight w:val="76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6</w:t>
            </w:r>
          </w:p>
        </w:tc>
        <w:tc>
          <w:tcPr>
            <w:tcW w:w="6705" w:type="dxa"/>
            <w:tcBorders>
              <w:top w:val="nil"/>
              <w:left w:val="nil"/>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Плотность, кг/куб. м</w:t>
            </w:r>
          </w:p>
        </w:tc>
        <w:tc>
          <w:tcPr>
            <w:tcW w:w="2126"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Не нормируется, определение не обязательно</w:t>
            </w:r>
          </w:p>
        </w:tc>
      </w:tr>
      <w:tr w:rsidR="00834266" w:rsidRPr="00D73AD5" w:rsidTr="007542A1">
        <w:trPr>
          <w:trHeight w:val="2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7</w:t>
            </w:r>
          </w:p>
        </w:tc>
        <w:tc>
          <w:tcPr>
            <w:tcW w:w="6705"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 xml:space="preserve">Низшая теплота сгорания, ккал/м3, не менее </w:t>
            </w:r>
          </w:p>
        </w:tc>
        <w:tc>
          <w:tcPr>
            <w:tcW w:w="2126"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10000</w:t>
            </w:r>
          </w:p>
        </w:tc>
      </w:tr>
      <w:tr w:rsidR="00834266" w:rsidRPr="00D73AD5" w:rsidTr="007542A1">
        <w:trPr>
          <w:trHeight w:val="27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8</w:t>
            </w:r>
          </w:p>
        </w:tc>
        <w:tc>
          <w:tcPr>
            <w:tcW w:w="6705"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 xml:space="preserve">Зольность, %,  не более           </w:t>
            </w:r>
          </w:p>
        </w:tc>
        <w:tc>
          <w:tcPr>
            <w:tcW w:w="2126"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 xml:space="preserve">-   </w:t>
            </w:r>
          </w:p>
        </w:tc>
      </w:tr>
      <w:tr w:rsidR="00834266" w:rsidRPr="00D73AD5" w:rsidTr="007542A1">
        <w:trPr>
          <w:trHeight w:val="22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9</w:t>
            </w:r>
          </w:p>
        </w:tc>
        <w:tc>
          <w:tcPr>
            <w:tcW w:w="6705"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 xml:space="preserve">Массовая доля общей серы, %, не более      </w:t>
            </w:r>
          </w:p>
        </w:tc>
        <w:tc>
          <w:tcPr>
            <w:tcW w:w="2126"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0,1</w:t>
            </w:r>
          </w:p>
        </w:tc>
      </w:tr>
      <w:tr w:rsidR="00834266" w:rsidRPr="00D73AD5" w:rsidTr="007542A1">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10</w:t>
            </w:r>
          </w:p>
        </w:tc>
        <w:tc>
          <w:tcPr>
            <w:tcW w:w="6705"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 xml:space="preserve">Содержание водорастворимых кислот и щелочей                         </w:t>
            </w:r>
          </w:p>
        </w:tc>
        <w:tc>
          <w:tcPr>
            <w:tcW w:w="2126"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jc w:val="center"/>
              <w:rPr>
                <w:rFonts w:ascii="Times New Roman" w:hAnsi="Times New Roman"/>
                <w:color w:val="000000"/>
                <w:sz w:val="24"/>
                <w:szCs w:val="24"/>
                <w:lang w:val="en-US"/>
              </w:rPr>
            </w:pPr>
            <w:r w:rsidRPr="00D73AD5">
              <w:rPr>
                <w:rFonts w:ascii="Times New Roman" w:hAnsi="Times New Roman"/>
                <w:color w:val="000000"/>
                <w:sz w:val="24"/>
                <w:szCs w:val="24"/>
              </w:rPr>
              <w:t> </w:t>
            </w:r>
            <w:r w:rsidRPr="00D73AD5">
              <w:rPr>
                <w:rFonts w:ascii="Times New Roman" w:hAnsi="Times New Roman"/>
                <w:color w:val="000000"/>
                <w:sz w:val="24"/>
                <w:szCs w:val="24"/>
                <w:lang w:val="en-US"/>
              </w:rPr>
              <w:t>-</w:t>
            </w:r>
          </w:p>
        </w:tc>
      </w:tr>
      <w:tr w:rsidR="00834266" w:rsidRPr="00D73AD5" w:rsidTr="007542A1">
        <w:trPr>
          <w:trHeight w:val="24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11</w:t>
            </w:r>
          </w:p>
        </w:tc>
        <w:tc>
          <w:tcPr>
            <w:tcW w:w="6705"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 xml:space="preserve">Массовая доля механических примесей, %, не более                       </w:t>
            </w:r>
          </w:p>
        </w:tc>
        <w:tc>
          <w:tcPr>
            <w:tcW w:w="2126"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0,05</w:t>
            </w:r>
          </w:p>
        </w:tc>
      </w:tr>
      <w:tr w:rsidR="00834266" w:rsidRPr="00D73AD5" w:rsidTr="007542A1">
        <w:trPr>
          <w:trHeight w:val="31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12</w:t>
            </w:r>
          </w:p>
        </w:tc>
        <w:tc>
          <w:tcPr>
            <w:tcW w:w="6705"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 xml:space="preserve">Содержание воды                  </w:t>
            </w:r>
          </w:p>
        </w:tc>
        <w:tc>
          <w:tcPr>
            <w:tcW w:w="2126"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отсутствие</w:t>
            </w:r>
          </w:p>
        </w:tc>
      </w:tr>
      <w:tr w:rsidR="00834266" w:rsidRPr="00D73AD5" w:rsidTr="007542A1">
        <w:trPr>
          <w:trHeight w:val="264"/>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13</w:t>
            </w:r>
          </w:p>
        </w:tc>
        <w:tc>
          <w:tcPr>
            <w:tcW w:w="6705"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Фракционный состав, не более: начало кипения, град.С</w:t>
            </w:r>
          </w:p>
        </w:tc>
        <w:tc>
          <w:tcPr>
            <w:tcW w:w="2126"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Не нормируется</w:t>
            </w:r>
          </w:p>
        </w:tc>
      </w:tr>
      <w:tr w:rsidR="00834266" w:rsidRPr="00D73AD5" w:rsidTr="007542A1">
        <w:trPr>
          <w:trHeight w:val="214"/>
        </w:trPr>
        <w:tc>
          <w:tcPr>
            <w:tcW w:w="540" w:type="dxa"/>
            <w:vMerge/>
            <w:tcBorders>
              <w:top w:val="nil"/>
              <w:left w:val="single" w:sz="4" w:space="0" w:color="auto"/>
              <w:bottom w:val="single" w:sz="4" w:space="0" w:color="000000"/>
              <w:right w:val="single" w:sz="4" w:space="0" w:color="auto"/>
            </w:tcBorders>
            <w:vAlign w:val="center"/>
            <w:hideMark/>
          </w:tcPr>
          <w:p w:rsidR="00834266" w:rsidRPr="00D73AD5" w:rsidRDefault="00834266" w:rsidP="007542A1">
            <w:pPr>
              <w:spacing w:line="240" w:lineRule="atLeast"/>
              <w:contextualSpacing/>
              <w:rPr>
                <w:rFonts w:ascii="Times New Roman" w:hAnsi="Times New Roman"/>
                <w:color w:val="000000"/>
                <w:sz w:val="24"/>
                <w:szCs w:val="24"/>
              </w:rPr>
            </w:pPr>
          </w:p>
        </w:tc>
        <w:tc>
          <w:tcPr>
            <w:tcW w:w="6705"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50% перегоняется при температуре, град.С</w:t>
            </w:r>
          </w:p>
        </w:tc>
        <w:tc>
          <w:tcPr>
            <w:tcW w:w="2126"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120</w:t>
            </w:r>
          </w:p>
        </w:tc>
      </w:tr>
      <w:tr w:rsidR="00834266" w:rsidRPr="00D73AD5" w:rsidTr="007542A1">
        <w:trPr>
          <w:trHeight w:val="135"/>
        </w:trPr>
        <w:tc>
          <w:tcPr>
            <w:tcW w:w="540" w:type="dxa"/>
            <w:vMerge/>
            <w:tcBorders>
              <w:top w:val="nil"/>
              <w:left w:val="single" w:sz="4" w:space="0" w:color="auto"/>
              <w:bottom w:val="single" w:sz="4" w:space="0" w:color="000000"/>
              <w:right w:val="single" w:sz="4" w:space="0" w:color="auto"/>
            </w:tcBorders>
            <w:vAlign w:val="center"/>
            <w:hideMark/>
          </w:tcPr>
          <w:p w:rsidR="00834266" w:rsidRPr="00D73AD5" w:rsidRDefault="00834266" w:rsidP="007542A1">
            <w:pPr>
              <w:spacing w:line="240" w:lineRule="atLeast"/>
              <w:contextualSpacing/>
              <w:rPr>
                <w:rFonts w:ascii="Times New Roman" w:hAnsi="Times New Roman"/>
                <w:color w:val="000000"/>
                <w:sz w:val="24"/>
                <w:szCs w:val="24"/>
              </w:rPr>
            </w:pPr>
          </w:p>
        </w:tc>
        <w:tc>
          <w:tcPr>
            <w:tcW w:w="6705"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rPr>
                <w:rFonts w:ascii="Times New Roman" w:hAnsi="Times New Roman"/>
                <w:color w:val="000000"/>
                <w:sz w:val="24"/>
                <w:szCs w:val="24"/>
              </w:rPr>
            </w:pPr>
            <w:r w:rsidRPr="00D73AD5">
              <w:rPr>
                <w:rFonts w:ascii="Times New Roman" w:hAnsi="Times New Roman"/>
                <w:color w:val="000000"/>
                <w:sz w:val="24"/>
                <w:szCs w:val="24"/>
              </w:rPr>
              <w:t xml:space="preserve">Конец кипения                         </w:t>
            </w:r>
          </w:p>
        </w:tc>
        <w:tc>
          <w:tcPr>
            <w:tcW w:w="2126" w:type="dxa"/>
            <w:tcBorders>
              <w:top w:val="nil"/>
              <w:left w:val="nil"/>
              <w:bottom w:val="single" w:sz="4" w:space="0" w:color="auto"/>
              <w:right w:val="single" w:sz="4" w:space="0" w:color="auto"/>
            </w:tcBorders>
            <w:shd w:val="clear" w:color="auto" w:fill="auto"/>
            <w:hideMark/>
          </w:tcPr>
          <w:p w:rsidR="00834266" w:rsidRPr="00D73AD5" w:rsidRDefault="00834266" w:rsidP="007542A1">
            <w:pPr>
              <w:spacing w:line="240" w:lineRule="atLeast"/>
              <w:contextualSpacing/>
              <w:jc w:val="center"/>
              <w:rPr>
                <w:rFonts w:ascii="Times New Roman" w:hAnsi="Times New Roman"/>
                <w:color w:val="000000"/>
                <w:sz w:val="24"/>
                <w:szCs w:val="24"/>
              </w:rPr>
            </w:pPr>
            <w:r w:rsidRPr="00D73AD5">
              <w:rPr>
                <w:rFonts w:ascii="Times New Roman" w:hAnsi="Times New Roman"/>
                <w:color w:val="000000"/>
                <w:sz w:val="24"/>
                <w:szCs w:val="24"/>
              </w:rPr>
              <w:t>180</w:t>
            </w:r>
          </w:p>
        </w:tc>
      </w:tr>
    </w:tbl>
    <w:p w:rsidR="00834266" w:rsidRPr="00D73AD5" w:rsidRDefault="00834266" w:rsidP="00834266">
      <w:pPr>
        <w:adjustRightInd w:val="0"/>
        <w:ind w:firstLine="709"/>
        <w:contextualSpacing/>
        <w:jc w:val="both"/>
        <w:outlineLvl w:val="2"/>
        <w:rPr>
          <w:rFonts w:ascii="Times New Roman" w:hAnsi="Times New Roman"/>
          <w:sz w:val="24"/>
          <w:szCs w:val="24"/>
        </w:rPr>
      </w:pP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xml:space="preserve">Конденсат газовый стабильный поставляют партиями. Партией считают любое количество однородного по своим качественным показателям продукта, одновременно </w:t>
      </w:r>
      <w:r w:rsidRPr="00D73AD5">
        <w:rPr>
          <w:rFonts w:ascii="Times New Roman" w:hAnsi="Times New Roman"/>
          <w:sz w:val="24"/>
          <w:szCs w:val="24"/>
        </w:rPr>
        <w:lastRenderedPageBreak/>
        <w:t>направляемое в один адрес и сопровождаемое одним документом о качестве, выданным при приемке на основании испытаний объединенной пробы.</w:t>
      </w:r>
    </w:p>
    <w:p w:rsidR="00834266" w:rsidRPr="00D73AD5" w:rsidRDefault="00834266" w:rsidP="00834266">
      <w:pPr>
        <w:ind w:firstLine="709"/>
        <w:contextualSpacing/>
        <w:jc w:val="both"/>
        <w:rPr>
          <w:rFonts w:ascii="Times New Roman" w:hAnsi="Times New Roman"/>
          <w:sz w:val="24"/>
          <w:szCs w:val="24"/>
        </w:rPr>
      </w:pPr>
      <w:r w:rsidRPr="00D73AD5">
        <w:rPr>
          <w:rFonts w:ascii="Times New Roman" w:hAnsi="Times New Roman"/>
          <w:sz w:val="24"/>
          <w:szCs w:val="24"/>
        </w:rPr>
        <w:t>Из вышеизложенного следует, что ГКС, производимый ОАО «ЯТЭК», по физико-химическим характеристикам и по функциональному назначению не различается. Соответственно, различия по себестоимости 1 тн. производимого ОАО «ЯТЭК» топлива ГКС в период одного месяца не возникает. Также с учетом места отгрузки – отпуска товара покупателю (по всем покупателям  отпуск ГКТ производится путем отгрузки на предоставленный Покупателем автомобильный транспорт из резервуаров склада ОАО «ЯТЭК» в п. Кысыл-Сыр, а в период навигации - путем отгрузки на суда) различий по расходам на продажу на единицу топлива также не имеется.</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Согласно представленным ОАО «ЯТЭК» (вход.рег. №2425 от 20.04.2012) данным производственная себестоимость газового конденсата стабильного за 2011 год составляла 1425,6 руб. за 1 тонну (62909 тыс.руб./ 44129 тн.), полная себестоимость (с учетом коммерческих и управленческих расходов, процентов по кредитам) – 5912,6 руб. за 1 тонну (260915 тыс.руб./ 44129 тн.).</w:t>
      </w:r>
    </w:p>
    <w:p w:rsidR="00834266" w:rsidRPr="00D73AD5" w:rsidRDefault="00834266" w:rsidP="00834266">
      <w:pPr>
        <w:ind w:firstLine="709"/>
        <w:contextualSpacing/>
        <w:jc w:val="both"/>
        <w:rPr>
          <w:rFonts w:ascii="Times New Roman" w:hAnsi="Times New Roman"/>
          <w:sz w:val="24"/>
          <w:szCs w:val="24"/>
        </w:rPr>
      </w:pPr>
      <w:r w:rsidRPr="00D73AD5">
        <w:rPr>
          <w:rFonts w:ascii="Times New Roman" w:hAnsi="Times New Roman"/>
          <w:sz w:val="24"/>
          <w:szCs w:val="24"/>
        </w:rPr>
        <w:t xml:space="preserve">Согласно разделу 4 технических условий ТУ 0271-001-153815-2011 и пояснениям ОАО «ЯТЭК» транспортирование, маркировка, хранение ГКС производится в соответствии с требованиями ГОСТ 1510. </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При транспортировании конденсата газового стабильного на нефтеналивных судах при температуре воздуха выше 25</w:t>
      </w:r>
      <w:r w:rsidRPr="00D73AD5">
        <w:rPr>
          <w:rFonts w:ascii="Times New Roman" w:hAnsi="Times New Roman"/>
          <w:sz w:val="24"/>
          <w:szCs w:val="24"/>
          <w:vertAlign w:val="superscript"/>
        </w:rPr>
        <w:t>0</w:t>
      </w:r>
      <w:r w:rsidRPr="00D73AD5">
        <w:rPr>
          <w:rFonts w:ascii="Times New Roman" w:hAnsi="Times New Roman"/>
          <w:sz w:val="24"/>
          <w:szCs w:val="24"/>
        </w:rPr>
        <w:t>С следует производить охлаждение палубы забортной водой (охлаждение).</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При транспортировании ГКС на нефтеналивных судах должны быть проведены приемо-сдаточные испытания топлива на соответствие показателям ТУ. Объединенную пробу топлива делят на три части: одну часть анализируют, вторую хранит опечатанной предприятие-изготовитель на случай разногласий в оценке качества сырья, третью передают капитану судна.</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Каждая партия ГКС должна сопровождаться документом, удостоверяющим его качество.</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ГКС транспортируется без потребительской и транспортной тары наливом в нефтеналивных судах, автомобильных цистернах с внутренним маслобензостойким и паростойким защитным покрытием, удовлетворяющих требованиям электростатической искробезопасности.</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Допускается транспортировать ГКС в наливных судах, имеющих внутреннее покрытие согласно требованиям ОСТ 5Р.9258-95, а также в транспортных средствах, не имеющих внутренних покрытий и введенных в эксплуатацию до 01.01.93 г. и гарантирующих сохранение окружающей среды от загрязнения в соответствии СанПин 2.1.5.980.</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Хранение ГКС должно осуществляться в соответствии с ГОСТ 1510-84 и Правилами безопасности при эксплуатации газоперерабатывающих заводов.</w:t>
      </w:r>
    </w:p>
    <w:p w:rsidR="00834266" w:rsidRPr="00D73AD5" w:rsidRDefault="00834266" w:rsidP="00834266">
      <w:pPr>
        <w:ind w:firstLine="709"/>
        <w:contextualSpacing/>
        <w:jc w:val="both"/>
        <w:rPr>
          <w:rFonts w:ascii="Times New Roman" w:hAnsi="Times New Roman"/>
          <w:sz w:val="24"/>
          <w:szCs w:val="24"/>
        </w:rPr>
      </w:pPr>
      <w:r w:rsidRPr="00D73AD5">
        <w:rPr>
          <w:rFonts w:ascii="Times New Roman" w:hAnsi="Times New Roman"/>
          <w:sz w:val="24"/>
          <w:szCs w:val="24"/>
        </w:rPr>
        <w:t>Исходя из вышеизложенного, по операциям по отпуску топлива различия в выполняемых операциях предусмотрены только между видами транспорта, в который производится отпуск топлива: водный и наземный транспорт.</w:t>
      </w:r>
    </w:p>
    <w:p w:rsidR="00834266" w:rsidRPr="00D73AD5" w:rsidRDefault="00834266" w:rsidP="00834266">
      <w:pPr>
        <w:ind w:firstLine="709"/>
        <w:contextualSpacing/>
        <w:jc w:val="both"/>
        <w:rPr>
          <w:rFonts w:ascii="Times New Roman" w:hAnsi="Times New Roman"/>
          <w:sz w:val="24"/>
          <w:szCs w:val="24"/>
        </w:rPr>
      </w:pPr>
      <w:r w:rsidRPr="00D73AD5">
        <w:rPr>
          <w:rFonts w:ascii="Times New Roman" w:hAnsi="Times New Roman"/>
          <w:sz w:val="24"/>
          <w:szCs w:val="24"/>
        </w:rPr>
        <w:t xml:space="preserve">Таким образом, набор операций, оказываемых ОАО «ЯТЭК» при отпуске ГКС, является единым для всех покупателей, независимо от назначения топлива и лица, его </w:t>
      </w:r>
      <w:r w:rsidRPr="00D73AD5">
        <w:rPr>
          <w:rFonts w:ascii="Times New Roman" w:hAnsi="Times New Roman"/>
          <w:sz w:val="24"/>
          <w:szCs w:val="24"/>
        </w:rPr>
        <w:lastRenderedPageBreak/>
        <w:t xml:space="preserve">приобретающего, что исключает технологическую обоснованность установления различных цен на ГКС. </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Согласно данным карточки счета 90.01.1 «Выручка от реализации котельного топлива (покупного)» за 2011 г. ОАО «ЯТЭК» устанавливались различные цены реализации на газоконденсатное печное бытовое котельное топливо в июне 2011 г.:</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xml:space="preserve">- по цене 9072,43 руб/тн. (с учетом НДС 18%) реализовано ГУП «ЖКХ РС (Я)» по договору от 20.12.2010 №8263 (996/30-10 от 16.12.2010) в количестве 250,0 тн. Согласно товарной накладной от 16.06.2011 г. № 441 на основании указанного договора для ГУП «ЖКХ РС (Я)» топливо отпущено как котельное топливо. </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xml:space="preserve">Предметом договора от 20.12.2010 №8263 (996/30-10 от 16.12.2010) является поставка продукции, по своему качеству соответствующая ТУ5192-001-001153815-97 «Топливо газоконденсатное печное бытовое котельное» и/или ТУ 0271-011-00153815-2008 «Конденсат газовый стабильный»; </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xml:space="preserve">- по цене 17995 руб/тн. (с учетом НДС 18%) реализовано ОАО «Саханефтегазсбыт» по договору от 04.06.2010 №461/39-10 в количестве 261,2 тн., что подтверждается счетом-фактурой №776 от 16.06.2011 и товарными накладными от 16.06.2011 №440, предъявленными ОАО «ЯТЭК» покупателю (представлены в материалы дела ОАО «Саханефтегазсбыт» письмом от 13.06.2012 №07-04/583). Согласно товарной накладной от 16.06.2011 г. № 440 на основании указанного договора для ОАО «Саханефтегазсбыт» топливо отпущено как газовый конденсат стабильный (ГКС). </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Предметом договора от 04.06.2010 №461/39-10 является поставка продукции, по своему качеству соответствующая ТУ 0271-011-00153815-2008 «Конденсат газовый стабильный».</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Согласно договору от 20.12.2010 №8263 (996/30-10 от 16.12.2010) для ГУП ЖКХ РС (Я) отпуск газоконденсатного котельного топлива (ГКТ) производится путем отгрузки на предоставленный Покупателем автомобильный транспорт из резервуаров ОАО «ЯТЭК», а в период навигации путем отгрузки на суда. Право собственности на каждую партию котельного топлива, отгруженную в транспортное средство Покупателя, риск ее случайной гибели либо/или ухудшение его качества переходят к покупателю с момента исполнения обязательств по передаче Покупателю каждой партии котельного топлива, оформленной товарно-транспортной накладной.</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Покупатель производит предварительную оплату за объем поставки ГКТ следующего месяца, на основании предоставленных Поставщиком счетов.</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Согласно договору от 04.06.2010 №461/39-10 для ОАО «Саханефтегазсбыт» отпуск ГКС производится со склада Поставщика в п. Кысыл-Сыр Вилюйского улуса в нефтеналивные суда. Право собственности на каждую партию ГКС, отгруженную в транспортное средство Покупателя, риск ее случайной гибели либо/или ухудшение его качества переходят к покупателю с момента исполнения обязательств по передаче Покупателю каждой партии котельного топлива, оформленной товарно-транспортной накладной.</w:t>
      </w:r>
    </w:p>
    <w:p w:rsidR="00834266" w:rsidRPr="00D73AD5" w:rsidRDefault="00834266" w:rsidP="00834266">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Расчет за продукцию производится в порядке предварительной оплаты денежными средствами на расчетный счет Поставщика, в размере 100%.</w:t>
      </w:r>
    </w:p>
    <w:p w:rsidR="00D73AD5" w:rsidRDefault="00834266" w:rsidP="00D73AD5">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xml:space="preserve">Из вышеизложенного следует, что различия между покупателями по участию в обращении товара по форме и моменту оплаты отсутствуют – для всех покупателей </w:t>
      </w:r>
      <w:r w:rsidRPr="00D73AD5">
        <w:rPr>
          <w:rFonts w:ascii="Times New Roman" w:hAnsi="Times New Roman"/>
          <w:sz w:val="24"/>
          <w:szCs w:val="24"/>
        </w:rPr>
        <w:lastRenderedPageBreak/>
        <w:t>договорами установлено обязательство по  предварительной оплате за приобретаемое топливо ГПБК путем перечисления на расчетный счет Поставщика.</w:t>
      </w:r>
    </w:p>
    <w:p w:rsidR="00834266" w:rsidRPr="00D73AD5" w:rsidRDefault="00834266" w:rsidP="00D73AD5">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Согласно бухгалтерской справке ОАО «ЯТЭК» №2710 ГПБК, часть которого реализована ГУП ЖКХ РС (Я) и ОАО «Саханефтегазсбыт», получено 01.11.2010  (письмо от 18.05.2012 №1129-15) ОАО «ЯТЭК» от ЗАО НК «Якол» по решению Арбитражного Суда РС (Я) от 26.07.2010 №А58-3026/2009 (письмо вход. рег.№2425 20.04.2012) и себестоимость, по которой топливо принято на учет, составляет 5181,38 руб./тн.</w:t>
      </w:r>
    </w:p>
    <w:p w:rsidR="00834266" w:rsidRPr="00D73AD5" w:rsidRDefault="00834266" w:rsidP="00834266">
      <w:pPr>
        <w:ind w:firstLine="709"/>
        <w:contextualSpacing/>
        <w:jc w:val="both"/>
        <w:rPr>
          <w:rFonts w:ascii="Times New Roman" w:hAnsi="Times New Roman"/>
          <w:sz w:val="24"/>
          <w:szCs w:val="24"/>
        </w:rPr>
      </w:pPr>
      <w:r w:rsidRPr="00D73AD5">
        <w:rPr>
          <w:rFonts w:ascii="Times New Roman" w:hAnsi="Times New Roman"/>
          <w:sz w:val="24"/>
          <w:szCs w:val="24"/>
        </w:rPr>
        <w:t xml:space="preserve">Согласно разделу 4 технических условий ТУ 0251-002-00153815-2011 и пояснениям ОАО «ЯТЭК» транспортирование, маркировка, хранение ГПБК производится в соответствии с требованиями ГОСТ 1510, аналогично ГКС. </w:t>
      </w:r>
    </w:p>
    <w:p w:rsidR="00834266" w:rsidRPr="00D73AD5" w:rsidRDefault="00834266" w:rsidP="00834266">
      <w:pPr>
        <w:ind w:firstLine="709"/>
        <w:contextualSpacing/>
        <w:jc w:val="both"/>
        <w:rPr>
          <w:rFonts w:ascii="Times New Roman" w:hAnsi="Times New Roman"/>
          <w:sz w:val="24"/>
          <w:szCs w:val="24"/>
        </w:rPr>
      </w:pPr>
      <w:r w:rsidRPr="00D73AD5">
        <w:rPr>
          <w:rFonts w:ascii="Times New Roman" w:hAnsi="Times New Roman"/>
          <w:sz w:val="24"/>
          <w:szCs w:val="24"/>
        </w:rPr>
        <w:t>Исходя из вышеизложенного, по операциям по отпуску топлива различия в выполняемых операциях предусмотрены только между видами транспорта, в который производится отпуск топлива: водный и наземный транспорт.</w:t>
      </w:r>
    </w:p>
    <w:p w:rsidR="00834266" w:rsidRPr="00D73AD5" w:rsidRDefault="00834266" w:rsidP="00834266">
      <w:pPr>
        <w:ind w:firstLine="709"/>
        <w:contextualSpacing/>
        <w:jc w:val="both"/>
        <w:rPr>
          <w:rFonts w:ascii="Times New Roman" w:hAnsi="Times New Roman"/>
          <w:sz w:val="24"/>
          <w:szCs w:val="24"/>
        </w:rPr>
      </w:pPr>
      <w:r w:rsidRPr="00D73AD5">
        <w:rPr>
          <w:rFonts w:ascii="Times New Roman" w:hAnsi="Times New Roman"/>
          <w:sz w:val="24"/>
          <w:szCs w:val="24"/>
        </w:rPr>
        <w:t xml:space="preserve">Таким образом, набор операций, оказываемых ОАО «ЯТЭК» при отпуске ГПБК, является единым для всех покупателей, независимо от назначения топлива и лица, его приобретающего, что исключает технологическую обоснованность установления различных цен на ГКС. </w:t>
      </w:r>
    </w:p>
    <w:p w:rsidR="00D73AD5" w:rsidRDefault="00834266" w:rsidP="00834266">
      <w:pPr>
        <w:adjustRightInd w:val="0"/>
        <w:ind w:firstLine="709"/>
        <w:jc w:val="both"/>
        <w:outlineLvl w:val="1"/>
        <w:rPr>
          <w:rFonts w:ascii="Times New Roman" w:hAnsi="Times New Roman"/>
          <w:sz w:val="24"/>
          <w:szCs w:val="24"/>
        </w:rPr>
      </w:pPr>
      <w:r w:rsidRPr="00D73AD5">
        <w:rPr>
          <w:rFonts w:ascii="Times New Roman" w:hAnsi="Times New Roman"/>
          <w:sz w:val="24"/>
          <w:szCs w:val="24"/>
        </w:rPr>
        <w:t>Таким образом, Комиссией установлены признаки нарушения ОАО «Якутская топливно-энергетическая компания» пункта 6 части 1 статьи 10 ФЗ «О защите конкуренции» путем установления экономически, технологически и иным образом не обоснованных различных цен на один и тот же товар: газовый конденсат стабильный, используемый в качестве котельного топлива в феврале, апреле, июне, сентябре, октябре и декабре 2011 года, и газоконденсатное печное бытовое котельное топливо в июне 2011 года.</w:t>
      </w:r>
    </w:p>
    <w:p w:rsidR="00834266" w:rsidRPr="00D73AD5" w:rsidRDefault="00834266" w:rsidP="00834266">
      <w:pPr>
        <w:adjustRightInd w:val="0"/>
        <w:ind w:firstLine="709"/>
        <w:jc w:val="both"/>
        <w:outlineLvl w:val="1"/>
        <w:rPr>
          <w:rFonts w:ascii="Times New Roman" w:hAnsi="Times New Roman"/>
          <w:sz w:val="24"/>
          <w:szCs w:val="24"/>
        </w:rPr>
      </w:pPr>
      <w:r w:rsidRPr="00D73AD5">
        <w:rPr>
          <w:rFonts w:ascii="Times New Roman" w:hAnsi="Times New Roman"/>
          <w:sz w:val="24"/>
          <w:szCs w:val="24"/>
        </w:rPr>
        <w:t>Пунктом 6 части 1 статьи 10 ФЗ «О защите конкуренции» установлен запрет на действия (бездействие) занимающего доминирующее положение хозяйствующего субъекта,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834266" w:rsidRPr="00D73AD5" w:rsidRDefault="00834266" w:rsidP="00834266">
      <w:pPr>
        <w:pStyle w:val="a3"/>
        <w:ind w:firstLine="709"/>
        <w:jc w:val="both"/>
        <w:rPr>
          <w:rFonts w:cs="Times New Roman"/>
          <w:lang w:val="ru-RU"/>
        </w:rPr>
      </w:pPr>
      <w:r w:rsidRPr="00D73AD5">
        <w:rPr>
          <w:rFonts w:cs="Times New Roman"/>
          <w:lang w:val="ru-RU"/>
        </w:rPr>
        <w:t>Пункт 3.1.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при рассмотрении дела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от 17.01.2007г. №5 (далее – Административный регламент) устанавливает право антимонопольного органа устанавливать доминирующее положение хозяйствующего субъекта на товарном рынке при рассмотрении дела о нарушении антимонопольного законодательства.</w:t>
      </w:r>
    </w:p>
    <w:p w:rsidR="00834266" w:rsidRPr="00D73AD5" w:rsidRDefault="00834266" w:rsidP="00834266">
      <w:pPr>
        <w:pStyle w:val="a3"/>
        <w:ind w:firstLine="709"/>
        <w:jc w:val="both"/>
        <w:rPr>
          <w:rFonts w:cs="Times New Roman"/>
          <w:lang w:val="ru-RU"/>
        </w:rPr>
      </w:pPr>
      <w:r w:rsidRPr="00D73AD5">
        <w:rPr>
          <w:rFonts w:cs="Times New Roman"/>
          <w:lang w:val="ru-RU"/>
        </w:rPr>
        <w:t>Согласно пункту 3.2.1 Административного регламента доминирующим признается положение хозяйствующего субъекта (за исключением финансовой организации):</w:t>
      </w:r>
    </w:p>
    <w:p w:rsidR="00834266" w:rsidRPr="00D73AD5" w:rsidRDefault="00834266" w:rsidP="00834266">
      <w:pPr>
        <w:pStyle w:val="a3"/>
        <w:ind w:firstLine="709"/>
        <w:jc w:val="both"/>
        <w:rPr>
          <w:rFonts w:cs="Times New Roman"/>
          <w:lang w:val="ru-RU"/>
        </w:rPr>
      </w:pPr>
      <w:r w:rsidRPr="00D73AD5">
        <w:rPr>
          <w:rFonts w:cs="Times New Roman"/>
          <w:lang w:val="ru-RU"/>
        </w:rPr>
        <w:t>а)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834266" w:rsidRPr="00D73AD5" w:rsidRDefault="00834266" w:rsidP="00834266">
      <w:pPr>
        <w:pStyle w:val="a3"/>
        <w:ind w:firstLine="709"/>
        <w:jc w:val="both"/>
        <w:rPr>
          <w:rFonts w:cs="Times New Roman"/>
          <w:lang w:val="ru-RU"/>
        </w:rPr>
      </w:pPr>
      <w:r w:rsidRPr="00D73AD5">
        <w:rPr>
          <w:rFonts w:cs="Times New Roman"/>
          <w:lang w:val="ru-RU"/>
        </w:rPr>
        <w:t xml:space="preserve">б)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w:t>
      </w:r>
      <w:r w:rsidRPr="00D73AD5">
        <w:rPr>
          <w:rFonts w:cs="Times New Roman"/>
          <w:lang w:val="ru-RU"/>
        </w:rPr>
        <w:lastRenderedPageBreak/>
        <w:t>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834266" w:rsidRPr="00D73AD5" w:rsidRDefault="00834266" w:rsidP="00834266">
      <w:pPr>
        <w:pStyle w:val="a3"/>
        <w:ind w:firstLine="709"/>
        <w:jc w:val="both"/>
        <w:rPr>
          <w:rFonts w:cs="Times New Roman"/>
          <w:lang w:val="ru-RU"/>
        </w:rPr>
      </w:pPr>
      <w:r w:rsidRPr="00D73AD5">
        <w:rPr>
          <w:rFonts w:cs="Times New Roman"/>
          <w:lang w:val="ru-RU"/>
        </w:rPr>
        <w:t>В соответствии с пунктом 3.6.4. Административного регламента определение признаков наличия доминирующего положения хозяйствующего субъекта осуществляется по результатам анализа состояния конкуренции, проведенного согласно соответствующему порядку проведения анализа состояния конкуренции в целях установления доминирующего положения хозяйствующего субъекта, и включает в себя идентификацию хозяйствующего субъекта, предварительное определение продуктовых и географических границ товарного рынка, выявление группы лиц, оценку положения хозяйствующего субъекта (группы лиц) на рынке.</w:t>
      </w:r>
    </w:p>
    <w:p w:rsidR="00834266" w:rsidRPr="00D73AD5" w:rsidRDefault="00834266" w:rsidP="00834266">
      <w:pPr>
        <w:adjustRightInd w:val="0"/>
        <w:ind w:firstLine="709"/>
        <w:contextualSpacing/>
        <w:jc w:val="both"/>
        <w:rPr>
          <w:rFonts w:ascii="Times New Roman" w:hAnsi="Times New Roman"/>
          <w:sz w:val="24"/>
          <w:szCs w:val="24"/>
        </w:rPr>
      </w:pPr>
      <w:r w:rsidRPr="00D73AD5">
        <w:rPr>
          <w:rFonts w:ascii="Times New Roman" w:hAnsi="Times New Roman"/>
          <w:sz w:val="24"/>
          <w:szCs w:val="24"/>
        </w:rPr>
        <w:t>В связи с чем, УФАС по РС (Я) в ходе рассмотрения дел №02-7/12А и №02-82/12А проведено исследование рынка оптовой реализации газового конденсата стабильного, используемого в качестве котельного топлива, и газоконденсатного печного бытового котельного топлива на территории Республики Саха (Якутия).</w:t>
      </w:r>
    </w:p>
    <w:p w:rsidR="00D73AD5" w:rsidRPr="00A7661F" w:rsidRDefault="00D73AD5" w:rsidP="00D73AD5">
      <w:pPr>
        <w:adjustRightInd w:val="0"/>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В решении по делу №02-</w:t>
      </w:r>
      <w:r>
        <w:rPr>
          <w:rFonts w:ascii="Times New Roman" w:hAnsi="Times New Roman"/>
          <w:sz w:val="24"/>
          <w:szCs w:val="24"/>
        </w:rPr>
        <w:t>82</w:t>
      </w:r>
      <w:r w:rsidRPr="00A7661F">
        <w:rPr>
          <w:rFonts w:ascii="Times New Roman" w:hAnsi="Times New Roman"/>
          <w:sz w:val="24"/>
          <w:szCs w:val="24"/>
        </w:rPr>
        <w:t xml:space="preserve">/12А от 06.07.2012г. (стр. </w:t>
      </w:r>
      <w:r>
        <w:rPr>
          <w:rFonts w:ascii="Times New Roman" w:hAnsi="Times New Roman"/>
          <w:sz w:val="24"/>
          <w:szCs w:val="24"/>
        </w:rPr>
        <w:t>11</w:t>
      </w:r>
      <w:r w:rsidRPr="00A7661F">
        <w:rPr>
          <w:rFonts w:ascii="Times New Roman" w:hAnsi="Times New Roman"/>
          <w:sz w:val="24"/>
          <w:szCs w:val="24"/>
        </w:rPr>
        <w:t>-</w:t>
      </w:r>
      <w:r>
        <w:rPr>
          <w:rFonts w:ascii="Times New Roman" w:hAnsi="Times New Roman"/>
          <w:sz w:val="24"/>
          <w:szCs w:val="24"/>
        </w:rPr>
        <w:t>30</w:t>
      </w:r>
      <w:r w:rsidRPr="00A7661F">
        <w:rPr>
          <w:rFonts w:ascii="Times New Roman" w:hAnsi="Times New Roman"/>
          <w:sz w:val="24"/>
          <w:szCs w:val="24"/>
        </w:rPr>
        <w:t>) указаны результаты проведенного Анализа состояния конкуренции на соответствующем товарном рынке в целях установления доминирующего положения ОАО «ЯТЭК». В протоколе об административном правонарушении также полностью указаны сведения о доминирующем положении ОАО «ЯТЭК».</w:t>
      </w:r>
    </w:p>
    <w:p w:rsidR="00D73AD5" w:rsidRPr="00A7661F" w:rsidRDefault="00D73AD5" w:rsidP="00D73AD5">
      <w:pPr>
        <w:adjustRightInd w:val="0"/>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Приказом №55 Якутского УФАС России от 29.06.2012 года ОАО «ЯТЭК» включен в Реестр хозяйствующих субъектов имеющих долю на рынке более 35 % по наименованию товаров работ услуг:  оптовая реализация газового конденсата стабильного, применяемого в качестве котельного топлива, и топлива газоконденсатного печного бытового котельного (ОКП 02 5192, 02 7132) ОКВЭД 51.51. с долей более 50 % в географических границах Республики Саха (Якутия).</w:t>
      </w:r>
    </w:p>
    <w:p w:rsidR="00D73AD5" w:rsidRDefault="00D73AD5" w:rsidP="00D73AD5">
      <w:pPr>
        <w:adjustRightInd w:val="0"/>
        <w:spacing w:line="240" w:lineRule="auto"/>
        <w:ind w:firstLine="709"/>
        <w:contextualSpacing/>
        <w:jc w:val="both"/>
        <w:rPr>
          <w:rFonts w:ascii="Times New Roman" w:hAnsi="Times New Roman"/>
          <w:sz w:val="24"/>
          <w:szCs w:val="24"/>
        </w:rPr>
      </w:pPr>
      <w:r w:rsidRPr="00A7661F">
        <w:rPr>
          <w:rFonts w:ascii="Times New Roman" w:hAnsi="Times New Roman"/>
          <w:sz w:val="24"/>
          <w:szCs w:val="24"/>
        </w:rPr>
        <w:t>Таким образом, материалами дела подтверждается что ОАО «ЯТЭК» занимает доминирующее положение на вышеуказанном товарном рынке.</w:t>
      </w:r>
    </w:p>
    <w:p w:rsidR="00D07588" w:rsidRPr="00D73AD5" w:rsidRDefault="00D73AD5" w:rsidP="00D73AD5">
      <w:pPr>
        <w:adjustRightInd w:val="0"/>
        <w:spacing w:line="240" w:lineRule="auto"/>
        <w:ind w:firstLine="709"/>
        <w:contextualSpacing/>
        <w:jc w:val="both"/>
        <w:rPr>
          <w:rFonts w:ascii="Times New Roman" w:hAnsi="Times New Roman"/>
          <w:sz w:val="24"/>
          <w:szCs w:val="24"/>
        </w:rPr>
      </w:pPr>
      <w:r>
        <w:rPr>
          <w:szCs w:val="24"/>
        </w:rPr>
        <w:t>С</w:t>
      </w:r>
      <w:r w:rsidR="00D07588" w:rsidRPr="00D73AD5">
        <w:rPr>
          <w:rFonts w:ascii="Times New Roman" w:hAnsi="Times New Roman"/>
          <w:sz w:val="24"/>
          <w:szCs w:val="24"/>
        </w:rPr>
        <w:t xml:space="preserve">ледовательно, ОАО «ЯТЭК» в силу своего доминирующего положения на рынке оптовой реализации газового конденсата стабильного, применяемого в качестве котельного топлива, и топлива газоконденсатного печного бытового котельного в географических границах Республики Саха (Якутия) запрещено обоснования устанавливать различные цены (тарифы) на один и тот же товар (услуги) без экономического, технологического и иным образом. </w:t>
      </w:r>
    </w:p>
    <w:p w:rsidR="00D07588" w:rsidRPr="00D73AD5" w:rsidRDefault="00D07588" w:rsidP="00D07588">
      <w:pPr>
        <w:adjustRightInd w:val="0"/>
        <w:ind w:firstLine="709"/>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rPr>
        <w:t>По установленным антимонопольным органом обстоятельствам</w:t>
      </w:r>
      <w:r w:rsidRPr="00D73AD5">
        <w:rPr>
          <w:rFonts w:ascii="Times New Roman" w:hAnsi="Times New Roman"/>
          <w:sz w:val="24"/>
          <w:szCs w:val="24"/>
          <w:shd w:val="clear" w:color="auto" w:fill="FFFFFF"/>
        </w:rPr>
        <w:t xml:space="preserve">, указывающим на признаки нарушения </w:t>
      </w:r>
      <w:r w:rsidRPr="00D73AD5">
        <w:rPr>
          <w:rFonts w:ascii="Times New Roman" w:hAnsi="Times New Roman"/>
          <w:sz w:val="24"/>
          <w:szCs w:val="24"/>
        </w:rPr>
        <w:t>пункта 6 части 1 статьи 10 Федерального закона от 26.07.2006 г. №135-ФЗ «О защите конкуренции»</w:t>
      </w:r>
      <w:r w:rsidRPr="00D73AD5">
        <w:rPr>
          <w:rFonts w:ascii="Times New Roman" w:hAnsi="Times New Roman"/>
          <w:sz w:val="24"/>
          <w:szCs w:val="24"/>
          <w:shd w:val="clear" w:color="auto" w:fill="FFFFFF"/>
        </w:rPr>
        <w:t xml:space="preserve"> представители ОАО «ЯТЭК» пояснили, что при установлении цен реализации продукции (товаров), несомненно, учитываются объем поставки и форма, момент оплаты, т.е. какие-то цены могли быть установлены с учетом оплаты в рассрочку (копия протокола заседания Комиссии по рассмотрению дела №02-7/12А о нарушении </w:t>
      </w:r>
      <w:r w:rsidRPr="00D73AD5">
        <w:rPr>
          <w:rFonts w:ascii="Times New Roman" w:hAnsi="Times New Roman"/>
          <w:sz w:val="24"/>
          <w:szCs w:val="24"/>
        </w:rPr>
        <w:t>антимонопольного законодательства от 23.05.2012)</w:t>
      </w:r>
      <w:r w:rsidRPr="00D73AD5">
        <w:rPr>
          <w:rFonts w:ascii="Times New Roman" w:hAnsi="Times New Roman"/>
          <w:sz w:val="24"/>
          <w:szCs w:val="24"/>
          <w:shd w:val="clear" w:color="auto" w:fill="FFFFFF"/>
        </w:rPr>
        <w:t>.</w:t>
      </w:r>
    </w:p>
    <w:p w:rsidR="00D07588" w:rsidRPr="00D73AD5" w:rsidRDefault="00D07588" w:rsidP="00D07588">
      <w:pPr>
        <w:adjustRightInd w:val="0"/>
        <w:ind w:firstLine="709"/>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 xml:space="preserve">15.06.2012 на рассмотрении  представителем ОАО «ЯТЭК» в материалы дела представлен расчет цены реализации </w:t>
      </w:r>
      <w:r w:rsidRPr="00D73AD5">
        <w:rPr>
          <w:rFonts w:ascii="Times New Roman" w:hAnsi="Times New Roman"/>
          <w:b/>
          <w:sz w:val="24"/>
          <w:szCs w:val="24"/>
          <w:shd w:val="clear" w:color="auto" w:fill="FFFFFF"/>
        </w:rPr>
        <w:t>котельного топлива (покупного)</w:t>
      </w:r>
      <w:r w:rsidRPr="00D73AD5">
        <w:rPr>
          <w:rFonts w:ascii="Times New Roman" w:hAnsi="Times New Roman"/>
          <w:sz w:val="24"/>
          <w:szCs w:val="24"/>
          <w:shd w:val="clear" w:color="auto" w:fill="FFFFFF"/>
        </w:rPr>
        <w:t xml:space="preserve"> в 2011 г. Согласно данному расчету и пояснению представителя ОАО «ЯТЭК» разница в установленных ценах обоснована распределением себестоимости топлива пропорционально объему отпуска, а также распределением коммерческих, управленческих, прочих расходов и расходов по уплате процентов за пользование </w:t>
      </w:r>
      <w:r w:rsidRPr="00D73AD5">
        <w:rPr>
          <w:rFonts w:ascii="Times New Roman" w:hAnsi="Times New Roman"/>
          <w:sz w:val="24"/>
          <w:szCs w:val="24"/>
          <w:shd w:val="clear" w:color="auto" w:fill="FFFFFF"/>
        </w:rPr>
        <w:lastRenderedPageBreak/>
        <w:t>кредитными средствами пропорционально объему выручки от реализации топлива ГУП «ЖКХ РС (Я)» и ОАО «Саханефтегазсбыт» (таблица 6).</w:t>
      </w:r>
    </w:p>
    <w:p w:rsidR="00D07588" w:rsidRPr="00D73AD5" w:rsidRDefault="00D07588" w:rsidP="00D07588">
      <w:pPr>
        <w:adjustRightInd w:val="0"/>
        <w:ind w:firstLine="709"/>
        <w:contextualSpacing/>
        <w:jc w:val="right"/>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Таблица 6.</w:t>
      </w:r>
    </w:p>
    <w:p w:rsidR="00D07588" w:rsidRPr="00D73AD5" w:rsidRDefault="00D07588" w:rsidP="00D07588">
      <w:pPr>
        <w:adjustRightInd w:val="0"/>
        <w:contextualSpacing/>
        <w:jc w:val="center"/>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Расчет цены реализации котельного топлива (покупного) в 2011 г.</w:t>
      </w:r>
    </w:p>
    <w:tbl>
      <w:tblPr>
        <w:tblW w:w="938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567"/>
        <w:gridCol w:w="1276"/>
        <w:gridCol w:w="1134"/>
        <w:gridCol w:w="1276"/>
        <w:gridCol w:w="1361"/>
        <w:gridCol w:w="1361"/>
      </w:tblGrid>
      <w:tr w:rsidR="00D07588" w:rsidRPr="00D73AD5" w:rsidTr="007542A1">
        <w:tc>
          <w:tcPr>
            <w:tcW w:w="2410"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Контрагент</w:t>
            </w:r>
          </w:p>
        </w:tc>
        <w:tc>
          <w:tcPr>
            <w:tcW w:w="567" w:type="dxa"/>
          </w:tcPr>
          <w:p w:rsidR="00D07588" w:rsidRPr="00D73AD5" w:rsidRDefault="00D07588" w:rsidP="007542A1">
            <w:pPr>
              <w:adjustRightInd w:val="0"/>
              <w:ind w:left="-108" w:right="-108"/>
              <w:contextualSpacing/>
              <w:jc w:val="center"/>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ед. изм.</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ОАО «Саханефте-газсбыт»</w:t>
            </w:r>
          </w:p>
        </w:tc>
        <w:tc>
          <w:tcPr>
            <w:tcW w:w="1134"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Доля в общем объеме, %</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ГУП «ЖКХ РС (Я)»</w:t>
            </w:r>
          </w:p>
        </w:tc>
        <w:tc>
          <w:tcPr>
            <w:tcW w:w="1361"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Доля в общем объеме, %</w:t>
            </w:r>
          </w:p>
        </w:tc>
        <w:tc>
          <w:tcPr>
            <w:tcW w:w="1361"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Всего реализация котельного топлива (покупного)</w:t>
            </w:r>
          </w:p>
        </w:tc>
      </w:tr>
      <w:tr w:rsidR="00D07588" w:rsidRPr="00D73AD5" w:rsidTr="007542A1">
        <w:tc>
          <w:tcPr>
            <w:tcW w:w="2410" w:type="dxa"/>
          </w:tcPr>
          <w:p w:rsidR="00D07588" w:rsidRPr="00D73AD5" w:rsidRDefault="00D07588" w:rsidP="007542A1">
            <w:pPr>
              <w:adjustRightInd w:val="0"/>
              <w:contextualSpacing/>
              <w:jc w:val="center"/>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1</w:t>
            </w:r>
          </w:p>
        </w:tc>
        <w:tc>
          <w:tcPr>
            <w:tcW w:w="567" w:type="dxa"/>
          </w:tcPr>
          <w:p w:rsidR="00D07588" w:rsidRPr="00D73AD5" w:rsidRDefault="00D07588" w:rsidP="007542A1">
            <w:pPr>
              <w:adjustRightInd w:val="0"/>
              <w:ind w:left="-108" w:right="-108"/>
              <w:contextualSpacing/>
              <w:jc w:val="center"/>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2</w:t>
            </w:r>
          </w:p>
        </w:tc>
        <w:tc>
          <w:tcPr>
            <w:tcW w:w="1276" w:type="dxa"/>
          </w:tcPr>
          <w:p w:rsidR="00D07588" w:rsidRPr="00D73AD5" w:rsidRDefault="00D07588" w:rsidP="007542A1">
            <w:pPr>
              <w:adjustRightInd w:val="0"/>
              <w:contextualSpacing/>
              <w:jc w:val="center"/>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3</w:t>
            </w:r>
          </w:p>
        </w:tc>
        <w:tc>
          <w:tcPr>
            <w:tcW w:w="1134" w:type="dxa"/>
          </w:tcPr>
          <w:p w:rsidR="00D07588" w:rsidRPr="00D73AD5" w:rsidRDefault="00D07588" w:rsidP="007542A1">
            <w:pPr>
              <w:adjustRightInd w:val="0"/>
              <w:contextualSpacing/>
              <w:jc w:val="center"/>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4</w:t>
            </w:r>
          </w:p>
        </w:tc>
        <w:tc>
          <w:tcPr>
            <w:tcW w:w="1276" w:type="dxa"/>
          </w:tcPr>
          <w:p w:rsidR="00D07588" w:rsidRPr="00D73AD5" w:rsidRDefault="00D07588" w:rsidP="007542A1">
            <w:pPr>
              <w:adjustRightInd w:val="0"/>
              <w:contextualSpacing/>
              <w:jc w:val="center"/>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5</w:t>
            </w:r>
          </w:p>
        </w:tc>
        <w:tc>
          <w:tcPr>
            <w:tcW w:w="1361" w:type="dxa"/>
          </w:tcPr>
          <w:p w:rsidR="00D07588" w:rsidRPr="00D73AD5" w:rsidRDefault="00D07588" w:rsidP="007542A1">
            <w:pPr>
              <w:adjustRightInd w:val="0"/>
              <w:contextualSpacing/>
              <w:jc w:val="center"/>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6</w:t>
            </w:r>
          </w:p>
        </w:tc>
        <w:tc>
          <w:tcPr>
            <w:tcW w:w="1361" w:type="dxa"/>
          </w:tcPr>
          <w:p w:rsidR="00D07588" w:rsidRPr="00D73AD5" w:rsidRDefault="00D07588" w:rsidP="007542A1">
            <w:pPr>
              <w:adjustRightInd w:val="0"/>
              <w:contextualSpacing/>
              <w:jc w:val="center"/>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7</w:t>
            </w:r>
          </w:p>
        </w:tc>
      </w:tr>
      <w:tr w:rsidR="00D07588" w:rsidRPr="00D73AD5" w:rsidTr="007542A1">
        <w:tc>
          <w:tcPr>
            <w:tcW w:w="2410"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ОБЪЕМ</w:t>
            </w:r>
          </w:p>
        </w:tc>
        <w:tc>
          <w:tcPr>
            <w:tcW w:w="567" w:type="dxa"/>
          </w:tcPr>
          <w:p w:rsidR="00D07588" w:rsidRPr="00D73AD5" w:rsidRDefault="00D07588" w:rsidP="007542A1">
            <w:pPr>
              <w:adjustRightInd w:val="0"/>
              <w:ind w:left="-108" w:right="-108"/>
              <w:contextualSpacing/>
              <w:jc w:val="center"/>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тн.</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261,2</w:t>
            </w:r>
          </w:p>
        </w:tc>
        <w:tc>
          <w:tcPr>
            <w:tcW w:w="1134"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51,1</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250</w:t>
            </w:r>
          </w:p>
        </w:tc>
        <w:tc>
          <w:tcPr>
            <w:tcW w:w="1361"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48,9</w:t>
            </w:r>
          </w:p>
        </w:tc>
        <w:tc>
          <w:tcPr>
            <w:tcW w:w="1361"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511,2</w:t>
            </w:r>
          </w:p>
        </w:tc>
      </w:tr>
      <w:tr w:rsidR="00D07588" w:rsidRPr="00D73AD5" w:rsidTr="007542A1">
        <w:tc>
          <w:tcPr>
            <w:tcW w:w="2410"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Выручка (с НДС)</w:t>
            </w:r>
          </w:p>
        </w:tc>
        <w:tc>
          <w:tcPr>
            <w:tcW w:w="567" w:type="dxa"/>
          </w:tcPr>
          <w:p w:rsidR="00D07588" w:rsidRPr="00D73AD5" w:rsidRDefault="00D07588" w:rsidP="007542A1">
            <w:pPr>
              <w:adjustRightInd w:val="0"/>
              <w:ind w:left="-108" w:right="-108"/>
              <w:contextualSpacing/>
              <w:jc w:val="center"/>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руб.</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4700294,0</w:t>
            </w:r>
          </w:p>
        </w:tc>
        <w:tc>
          <w:tcPr>
            <w:tcW w:w="1134"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67,45</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2268107,5</w:t>
            </w:r>
          </w:p>
        </w:tc>
        <w:tc>
          <w:tcPr>
            <w:tcW w:w="1361"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32,55</w:t>
            </w:r>
          </w:p>
        </w:tc>
        <w:tc>
          <w:tcPr>
            <w:tcW w:w="1361"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6968401,5</w:t>
            </w:r>
          </w:p>
        </w:tc>
      </w:tr>
      <w:tr w:rsidR="00D07588" w:rsidRPr="00D73AD5" w:rsidTr="007542A1">
        <w:tc>
          <w:tcPr>
            <w:tcW w:w="2410"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Стоимость прихода котельного топлива</w:t>
            </w:r>
          </w:p>
        </w:tc>
        <w:tc>
          <w:tcPr>
            <w:tcW w:w="567" w:type="dxa"/>
          </w:tcPr>
          <w:p w:rsidR="00D07588" w:rsidRPr="00D73AD5" w:rsidRDefault="00D07588" w:rsidP="007542A1">
            <w:pPr>
              <w:adjustRightInd w:val="0"/>
              <w:ind w:left="-108" w:right="-108"/>
              <w:contextualSpacing/>
              <w:jc w:val="center"/>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руб.</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1353376,5</w:t>
            </w:r>
          </w:p>
        </w:tc>
        <w:tc>
          <w:tcPr>
            <w:tcW w:w="1134"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51,1</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1295345,0</w:t>
            </w:r>
          </w:p>
        </w:tc>
        <w:tc>
          <w:tcPr>
            <w:tcW w:w="1361"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48,9</w:t>
            </w:r>
          </w:p>
        </w:tc>
        <w:tc>
          <w:tcPr>
            <w:tcW w:w="1361"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2648721,5</w:t>
            </w:r>
          </w:p>
        </w:tc>
      </w:tr>
      <w:tr w:rsidR="00D07588" w:rsidRPr="00D73AD5" w:rsidTr="007542A1">
        <w:tc>
          <w:tcPr>
            <w:tcW w:w="2410"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Коммерческие расходы</w:t>
            </w:r>
          </w:p>
        </w:tc>
        <w:tc>
          <w:tcPr>
            <w:tcW w:w="567" w:type="dxa"/>
          </w:tcPr>
          <w:p w:rsidR="00D07588" w:rsidRPr="00D73AD5" w:rsidRDefault="00D07588" w:rsidP="007542A1">
            <w:pPr>
              <w:adjustRightInd w:val="0"/>
              <w:ind w:left="-108" w:right="-108"/>
              <w:contextualSpacing/>
              <w:jc w:val="center"/>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руб.</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18199,4</w:t>
            </w:r>
          </w:p>
        </w:tc>
        <w:tc>
          <w:tcPr>
            <w:tcW w:w="1134"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67,45</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8782,0</w:t>
            </w:r>
          </w:p>
        </w:tc>
        <w:tc>
          <w:tcPr>
            <w:tcW w:w="1361"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32,55</w:t>
            </w:r>
          </w:p>
        </w:tc>
        <w:tc>
          <w:tcPr>
            <w:tcW w:w="1361"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26981,4</w:t>
            </w:r>
          </w:p>
        </w:tc>
      </w:tr>
      <w:tr w:rsidR="00D07588" w:rsidRPr="00D73AD5" w:rsidTr="007542A1">
        <w:tc>
          <w:tcPr>
            <w:tcW w:w="2410"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Управленческие расходы</w:t>
            </w:r>
          </w:p>
        </w:tc>
        <w:tc>
          <w:tcPr>
            <w:tcW w:w="567" w:type="dxa"/>
          </w:tcPr>
          <w:p w:rsidR="00D07588" w:rsidRPr="00D73AD5" w:rsidRDefault="00D07588" w:rsidP="007542A1">
            <w:pPr>
              <w:adjustRightInd w:val="0"/>
              <w:ind w:left="-108" w:right="-108"/>
              <w:contextualSpacing/>
              <w:jc w:val="center"/>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руб.</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400368,6</w:t>
            </w:r>
          </w:p>
        </w:tc>
        <w:tc>
          <w:tcPr>
            <w:tcW w:w="1134"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51,1</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383201,2</w:t>
            </w:r>
          </w:p>
        </w:tc>
        <w:tc>
          <w:tcPr>
            <w:tcW w:w="1361"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48,9</w:t>
            </w:r>
          </w:p>
        </w:tc>
        <w:tc>
          <w:tcPr>
            <w:tcW w:w="1361"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783569,8</w:t>
            </w:r>
          </w:p>
        </w:tc>
      </w:tr>
      <w:tr w:rsidR="00D07588" w:rsidRPr="00D73AD5" w:rsidTr="007542A1">
        <w:tc>
          <w:tcPr>
            <w:tcW w:w="2410"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Прочие</w:t>
            </w:r>
          </w:p>
        </w:tc>
        <w:tc>
          <w:tcPr>
            <w:tcW w:w="567" w:type="dxa"/>
          </w:tcPr>
          <w:p w:rsidR="00D07588" w:rsidRPr="00D73AD5" w:rsidRDefault="00D07588" w:rsidP="007542A1">
            <w:pPr>
              <w:ind w:left="-108" w:right="-108"/>
              <w:jc w:val="center"/>
              <w:rPr>
                <w:rFonts w:ascii="Times New Roman" w:hAnsi="Times New Roman"/>
                <w:sz w:val="24"/>
                <w:szCs w:val="24"/>
              </w:rPr>
            </w:pPr>
            <w:r w:rsidRPr="00D73AD5">
              <w:rPr>
                <w:rFonts w:ascii="Times New Roman" w:hAnsi="Times New Roman"/>
                <w:sz w:val="24"/>
                <w:szCs w:val="24"/>
                <w:shd w:val="clear" w:color="auto" w:fill="FFFFFF"/>
              </w:rPr>
              <w:t>руб.</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943678,9</w:t>
            </w:r>
          </w:p>
        </w:tc>
        <w:tc>
          <w:tcPr>
            <w:tcW w:w="1134"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67,45</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455368,4</w:t>
            </w:r>
          </w:p>
        </w:tc>
        <w:tc>
          <w:tcPr>
            <w:tcW w:w="1361"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32,55</w:t>
            </w:r>
          </w:p>
        </w:tc>
        <w:tc>
          <w:tcPr>
            <w:tcW w:w="1361"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1399047,3</w:t>
            </w:r>
          </w:p>
        </w:tc>
      </w:tr>
      <w:tr w:rsidR="00D07588" w:rsidRPr="00D73AD5" w:rsidTr="007542A1">
        <w:tc>
          <w:tcPr>
            <w:tcW w:w="2410"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 к уплате</w:t>
            </w:r>
          </w:p>
        </w:tc>
        <w:tc>
          <w:tcPr>
            <w:tcW w:w="567" w:type="dxa"/>
          </w:tcPr>
          <w:p w:rsidR="00D07588" w:rsidRPr="00D73AD5" w:rsidRDefault="00D07588" w:rsidP="007542A1">
            <w:pPr>
              <w:ind w:left="-108" w:right="-108"/>
              <w:jc w:val="center"/>
              <w:rPr>
                <w:rFonts w:ascii="Times New Roman" w:hAnsi="Times New Roman"/>
                <w:sz w:val="24"/>
                <w:szCs w:val="24"/>
              </w:rPr>
            </w:pPr>
            <w:r w:rsidRPr="00D73AD5">
              <w:rPr>
                <w:rFonts w:ascii="Times New Roman" w:hAnsi="Times New Roman"/>
                <w:sz w:val="24"/>
                <w:szCs w:val="24"/>
                <w:shd w:val="clear" w:color="auto" w:fill="FFFFFF"/>
              </w:rPr>
              <w:t>руб.</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122687,6</w:t>
            </w:r>
          </w:p>
        </w:tc>
        <w:tc>
          <w:tcPr>
            <w:tcW w:w="1134"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67,45</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59202,4</w:t>
            </w:r>
          </w:p>
        </w:tc>
        <w:tc>
          <w:tcPr>
            <w:tcW w:w="1361"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32,55</w:t>
            </w:r>
          </w:p>
        </w:tc>
        <w:tc>
          <w:tcPr>
            <w:tcW w:w="1361"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181890,0</w:t>
            </w:r>
          </w:p>
        </w:tc>
      </w:tr>
      <w:tr w:rsidR="00D07588" w:rsidRPr="00D73AD5" w:rsidTr="007542A1">
        <w:tc>
          <w:tcPr>
            <w:tcW w:w="2410"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Итого стоимость приобретения, хранения и реализации</w:t>
            </w:r>
          </w:p>
        </w:tc>
        <w:tc>
          <w:tcPr>
            <w:tcW w:w="567" w:type="dxa"/>
          </w:tcPr>
          <w:p w:rsidR="00D07588" w:rsidRPr="00D73AD5" w:rsidRDefault="00D07588" w:rsidP="007542A1">
            <w:pPr>
              <w:adjustRightInd w:val="0"/>
              <w:ind w:left="-108" w:right="-108"/>
              <w:contextualSpacing/>
              <w:jc w:val="center"/>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руб.</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2838310,9</w:t>
            </w:r>
          </w:p>
        </w:tc>
        <w:tc>
          <w:tcPr>
            <w:tcW w:w="1134"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56,31</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2201899</w:t>
            </w:r>
          </w:p>
        </w:tc>
        <w:tc>
          <w:tcPr>
            <w:tcW w:w="1361"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43,69</w:t>
            </w:r>
          </w:p>
        </w:tc>
        <w:tc>
          <w:tcPr>
            <w:tcW w:w="1361"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5040209,9</w:t>
            </w:r>
          </w:p>
        </w:tc>
      </w:tr>
      <w:tr w:rsidR="00D07588" w:rsidRPr="00D73AD5" w:rsidTr="007542A1">
        <w:tc>
          <w:tcPr>
            <w:tcW w:w="9385" w:type="dxa"/>
            <w:gridSpan w:val="7"/>
          </w:tcPr>
          <w:p w:rsidR="00D07588" w:rsidRPr="00D73AD5" w:rsidRDefault="00D07588" w:rsidP="007542A1">
            <w:pPr>
              <w:adjustRightInd w:val="0"/>
              <w:ind w:left="-108" w:right="-108"/>
              <w:contextualSpacing/>
              <w:jc w:val="center"/>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СПРАВОЧНО:</w:t>
            </w:r>
          </w:p>
        </w:tc>
      </w:tr>
      <w:tr w:rsidR="00D07588" w:rsidRPr="00D73AD5" w:rsidTr="007542A1">
        <w:tc>
          <w:tcPr>
            <w:tcW w:w="2410"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p>
        </w:tc>
        <w:tc>
          <w:tcPr>
            <w:tcW w:w="567" w:type="dxa"/>
          </w:tcPr>
          <w:p w:rsidR="00D07588" w:rsidRPr="00D73AD5" w:rsidRDefault="00D07588" w:rsidP="007542A1">
            <w:pPr>
              <w:adjustRightInd w:val="0"/>
              <w:ind w:left="-108" w:right="-108"/>
              <w:contextualSpacing/>
              <w:jc w:val="center"/>
              <w:outlineLvl w:val="1"/>
              <w:rPr>
                <w:rFonts w:ascii="Times New Roman" w:hAnsi="Times New Roman"/>
                <w:sz w:val="24"/>
                <w:szCs w:val="24"/>
                <w:shd w:val="clear" w:color="auto" w:fill="FFFFFF"/>
              </w:rPr>
            </w:pP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p>
        </w:tc>
        <w:tc>
          <w:tcPr>
            <w:tcW w:w="1134" w:type="dxa"/>
          </w:tcPr>
          <w:p w:rsidR="00D07588" w:rsidRPr="00D73AD5" w:rsidRDefault="00D07588" w:rsidP="007542A1">
            <w:pPr>
              <w:adjustRightInd w:val="0"/>
              <w:ind w:left="-109" w:right="-107"/>
              <w:contextualSpacing/>
              <w:jc w:val="center"/>
              <w:outlineLvl w:val="1"/>
              <w:rPr>
                <w:rFonts w:ascii="Times New Roman" w:hAnsi="Times New Roman"/>
                <w:i/>
                <w:sz w:val="24"/>
                <w:szCs w:val="24"/>
                <w:shd w:val="clear" w:color="auto" w:fill="FFFFFF"/>
              </w:rPr>
            </w:pPr>
            <w:r w:rsidRPr="00D73AD5">
              <w:rPr>
                <w:rFonts w:ascii="Times New Roman" w:hAnsi="Times New Roman"/>
                <w:color w:val="000000"/>
                <w:sz w:val="24"/>
                <w:szCs w:val="24"/>
              </w:rPr>
              <w:t>Отклонение установленных цен от средневзвеш-й цены товара руб./тн. (гр.3- гр.7)</w:t>
            </w:r>
          </w:p>
        </w:tc>
        <w:tc>
          <w:tcPr>
            <w:tcW w:w="1276" w:type="dxa"/>
          </w:tcPr>
          <w:p w:rsidR="00D07588" w:rsidRPr="00D73AD5" w:rsidRDefault="00D07588" w:rsidP="007542A1">
            <w:pPr>
              <w:adjustRightInd w:val="0"/>
              <w:ind w:left="-109" w:right="-107"/>
              <w:contextualSpacing/>
              <w:jc w:val="center"/>
              <w:outlineLvl w:val="1"/>
              <w:rPr>
                <w:rFonts w:ascii="Times New Roman" w:hAnsi="Times New Roman"/>
                <w:sz w:val="24"/>
                <w:szCs w:val="24"/>
                <w:shd w:val="clear" w:color="auto" w:fill="FFFFFF"/>
              </w:rPr>
            </w:pPr>
          </w:p>
        </w:tc>
        <w:tc>
          <w:tcPr>
            <w:tcW w:w="1361" w:type="dxa"/>
          </w:tcPr>
          <w:p w:rsidR="00D07588" w:rsidRPr="00D73AD5" w:rsidRDefault="00D07588" w:rsidP="007542A1">
            <w:pPr>
              <w:adjustRightInd w:val="0"/>
              <w:ind w:left="-109" w:right="-107"/>
              <w:contextualSpacing/>
              <w:jc w:val="center"/>
              <w:outlineLvl w:val="1"/>
              <w:rPr>
                <w:rFonts w:ascii="Times New Roman" w:hAnsi="Times New Roman"/>
                <w:i/>
                <w:sz w:val="24"/>
                <w:szCs w:val="24"/>
                <w:shd w:val="clear" w:color="auto" w:fill="FFFFFF"/>
              </w:rPr>
            </w:pPr>
            <w:r w:rsidRPr="00D73AD5">
              <w:rPr>
                <w:rFonts w:ascii="Times New Roman" w:hAnsi="Times New Roman"/>
                <w:color w:val="000000"/>
                <w:sz w:val="24"/>
                <w:szCs w:val="24"/>
              </w:rPr>
              <w:t>Отклонение установленных цен от средневзвеш-й цены товара руб./тн. (гр.3- гр.7)</w:t>
            </w:r>
          </w:p>
        </w:tc>
        <w:tc>
          <w:tcPr>
            <w:tcW w:w="1361" w:type="dxa"/>
            <w:shd w:val="clear" w:color="auto" w:fill="FFFFFF"/>
          </w:tcPr>
          <w:p w:rsidR="00D07588" w:rsidRPr="00D73AD5" w:rsidRDefault="00D07588" w:rsidP="007542A1">
            <w:pPr>
              <w:adjustRightInd w:val="0"/>
              <w:ind w:left="-109" w:right="-107"/>
              <w:contextualSpacing/>
              <w:jc w:val="center"/>
              <w:outlineLvl w:val="1"/>
              <w:rPr>
                <w:rFonts w:ascii="Times New Roman" w:hAnsi="Times New Roman"/>
                <w:sz w:val="24"/>
                <w:szCs w:val="24"/>
                <w:shd w:val="clear" w:color="auto" w:fill="FFFFFF"/>
              </w:rPr>
            </w:pPr>
            <w:r w:rsidRPr="00D73AD5">
              <w:rPr>
                <w:rFonts w:ascii="Times New Roman" w:hAnsi="Times New Roman"/>
                <w:color w:val="000000"/>
                <w:sz w:val="24"/>
                <w:szCs w:val="24"/>
              </w:rPr>
              <w:t>Средневзвешенная цена реализации товара, руб./тн.</w:t>
            </w:r>
          </w:p>
        </w:tc>
      </w:tr>
      <w:tr w:rsidR="00D07588" w:rsidRPr="00D73AD5" w:rsidTr="007542A1">
        <w:tc>
          <w:tcPr>
            <w:tcW w:w="2410"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Цена 1 тн.</w:t>
            </w:r>
          </w:p>
        </w:tc>
        <w:tc>
          <w:tcPr>
            <w:tcW w:w="567" w:type="dxa"/>
          </w:tcPr>
          <w:p w:rsidR="00D07588" w:rsidRPr="00D73AD5" w:rsidRDefault="00D07588" w:rsidP="007542A1">
            <w:pPr>
              <w:ind w:left="-108" w:right="-108"/>
              <w:jc w:val="center"/>
              <w:rPr>
                <w:rFonts w:ascii="Times New Roman" w:hAnsi="Times New Roman"/>
                <w:sz w:val="24"/>
                <w:szCs w:val="24"/>
              </w:rPr>
            </w:pPr>
            <w:r w:rsidRPr="00D73AD5">
              <w:rPr>
                <w:rFonts w:ascii="Times New Roman" w:hAnsi="Times New Roman"/>
                <w:sz w:val="24"/>
                <w:szCs w:val="24"/>
                <w:shd w:val="clear" w:color="auto" w:fill="FFFFFF"/>
              </w:rPr>
              <w:t>руб.</w:t>
            </w:r>
          </w:p>
        </w:tc>
        <w:tc>
          <w:tcPr>
            <w:tcW w:w="1276" w:type="dxa"/>
          </w:tcPr>
          <w:p w:rsidR="00D07588" w:rsidRPr="00D73AD5" w:rsidRDefault="00D07588" w:rsidP="007542A1">
            <w:pPr>
              <w:adjustRightInd w:val="0"/>
              <w:contextualSpacing/>
              <w:jc w:val="both"/>
              <w:outlineLvl w:val="1"/>
              <w:rPr>
                <w:rFonts w:ascii="Times New Roman" w:hAnsi="Times New Roman"/>
                <w:b/>
                <w:sz w:val="24"/>
                <w:szCs w:val="24"/>
                <w:shd w:val="clear" w:color="auto" w:fill="FFFFFF"/>
              </w:rPr>
            </w:pPr>
            <w:r w:rsidRPr="00D73AD5">
              <w:rPr>
                <w:rFonts w:ascii="Times New Roman" w:hAnsi="Times New Roman"/>
                <w:b/>
                <w:sz w:val="24"/>
                <w:szCs w:val="24"/>
                <w:shd w:val="clear" w:color="auto" w:fill="FFFFFF"/>
              </w:rPr>
              <w:t>17995</w:t>
            </w:r>
          </w:p>
        </w:tc>
        <w:tc>
          <w:tcPr>
            <w:tcW w:w="1134"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6442,92</w:t>
            </w:r>
          </w:p>
        </w:tc>
        <w:tc>
          <w:tcPr>
            <w:tcW w:w="1276" w:type="dxa"/>
          </w:tcPr>
          <w:p w:rsidR="00D07588" w:rsidRPr="00D73AD5" w:rsidRDefault="00D07588" w:rsidP="007542A1">
            <w:pPr>
              <w:adjustRightInd w:val="0"/>
              <w:contextualSpacing/>
              <w:jc w:val="both"/>
              <w:outlineLvl w:val="1"/>
              <w:rPr>
                <w:rFonts w:ascii="Times New Roman" w:hAnsi="Times New Roman"/>
                <w:b/>
                <w:sz w:val="24"/>
                <w:szCs w:val="24"/>
                <w:shd w:val="clear" w:color="auto" w:fill="FFFFFF"/>
              </w:rPr>
            </w:pPr>
            <w:r w:rsidRPr="00D73AD5">
              <w:rPr>
                <w:rFonts w:ascii="Times New Roman" w:hAnsi="Times New Roman"/>
                <w:b/>
                <w:sz w:val="24"/>
                <w:szCs w:val="24"/>
                <w:shd w:val="clear" w:color="auto" w:fill="FFFFFF"/>
              </w:rPr>
              <w:t>9072,43</w:t>
            </w:r>
          </w:p>
        </w:tc>
        <w:tc>
          <w:tcPr>
            <w:tcW w:w="1361"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-2479,65</w:t>
            </w:r>
          </w:p>
        </w:tc>
        <w:tc>
          <w:tcPr>
            <w:tcW w:w="1361" w:type="dxa"/>
            <w:shd w:val="clear" w:color="auto" w:fill="FFFFFF"/>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11552,08</w:t>
            </w:r>
          </w:p>
        </w:tc>
      </w:tr>
      <w:tr w:rsidR="00D07588" w:rsidRPr="00D73AD5" w:rsidTr="007542A1">
        <w:tc>
          <w:tcPr>
            <w:tcW w:w="2410"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Итого стоимость 1 тн.</w:t>
            </w:r>
          </w:p>
        </w:tc>
        <w:tc>
          <w:tcPr>
            <w:tcW w:w="567" w:type="dxa"/>
          </w:tcPr>
          <w:p w:rsidR="00D07588" w:rsidRPr="00D73AD5" w:rsidRDefault="00D07588" w:rsidP="007542A1">
            <w:pPr>
              <w:ind w:left="-108" w:right="-108"/>
              <w:jc w:val="center"/>
              <w:rPr>
                <w:rFonts w:ascii="Times New Roman" w:hAnsi="Times New Roman"/>
                <w:sz w:val="24"/>
                <w:szCs w:val="24"/>
              </w:rPr>
            </w:pPr>
            <w:r w:rsidRPr="00D73AD5">
              <w:rPr>
                <w:rFonts w:ascii="Times New Roman" w:hAnsi="Times New Roman"/>
                <w:sz w:val="24"/>
                <w:szCs w:val="24"/>
                <w:shd w:val="clear" w:color="auto" w:fill="FFFFFF"/>
              </w:rPr>
              <w:t>руб.</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10866,43</w:t>
            </w:r>
          </w:p>
        </w:tc>
        <w:tc>
          <w:tcPr>
            <w:tcW w:w="1134"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1006,86</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8807,6</w:t>
            </w:r>
          </w:p>
        </w:tc>
        <w:tc>
          <w:tcPr>
            <w:tcW w:w="1361"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-1051,97</w:t>
            </w:r>
          </w:p>
        </w:tc>
        <w:tc>
          <w:tcPr>
            <w:tcW w:w="1361" w:type="dxa"/>
            <w:shd w:val="clear" w:color="auto" w:fill="FFFFFF"/>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9859,57</w:t>
            </w:r>
          </w:p>
        </w:tc>
      </w:tr>
      <w:tr w:rsidR="00D07588" w:rsidRPr="00D73AD5" w:rsidTr="007542A1">
        <w:tc>
          <w:tcPr>
            <w:tcW w:w="2410"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Наценка</w:t>
            </w:r>
          </w:p>
        </w:tc>
        <w:tc>
          <w:tcPr>
            <w:tcW w:w="567" w:type="dxa"/>
          </w:tcPr>
          <w:p w:rsidR="00D07588" w:rsidRPr="00D73AD5" w:rsidRDefault="00D07588" w:rsidP="007542A1">
            <w:pPr>
              <w:ind w:left="-108" w:right="-108"/>
              <w:jc w:val="center"/>
              <w:rPr>
                <w:rFonts w:ascii="Times New Roman" w:hAnsi="Times New Roman"/>
                <w:sz w:val="24"/>
                <w:szCs w:val="24"/>
              </w:rPr>
            </w:pPr>
            <w:r w:rsidRPr="00D73AD5">
              <w:rPr>
                <w:rFonts w:ascii="Times New Roman" w:hAnsi="Times New Roman"/>
                <w:sz w:val="24"/>
                <w:szCs w:val="24"/>
                <w:shd w:val="clear" w:color="auto" w:fill="FFFFFF"/>
              </w:rPr>
              <w:t>руб.</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7128,57</w:t>
            </w:r>
          </w:p>
        </w:tc>
        <w:tc>
          <w:tcPr>
            <w:tcW w:w="1134"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5436,05</w:t>
            </w: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264,83</w:t>
            </w:r>
          </w:p>
        </w:tc>
        <w:tc>
          <w:tcPr>
            <w:tcW w:w="1361"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r w:rsidRPr="00D73AD5">
              <w:rPr>
                <w:rFonts w:ascii="Times New Roman" w:hAnsi="Times New Roman"/>
                <w:i/>
                <w:sz w:val="24"/>
                <w:szCs w:val="24"/>
                <w:shd w:val="clear" w:color="auto" w:fill="FFFFFF"/>
              </w:rPr>
              <w:t>-1427,69</w:t>
            </w:r>
          </w:p>
        </w:tc>
        <w:tc>
          <w:tcPr>
            <w:tcW w:w="1361" w:type="dxa"/>
            <w:shd w:val="clear" w:color="auto" w:fill="FFFFFF"/>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1692,52</w:t>
            </w:r>
          </w:p>
        </w:tc>
      </w:tr>
      <w:tr w:rsidR="00D07588" w:rsidRPr="00D73AD5" w:rsidTr="007542A1">
        <w:tc>
          <w:tcPr>
            <w:tcW w:w="2410"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 xml:space="preserve">Среднегодовая </w:t>
            </w:r>
            <w:r w:rsidRPr="00D73AD5">
              <w:rPr>
                <w:rFonts w:ascii="Times New Roman" w:hAnsi="Times New Roman"/>
                <w:sz w:val="24"/>
                <w:szCs w:val="24"/>
                <w:shd w:val="clear" w:color="auto" w:fill="FFFFFF"/>
              </w:rPr>
              <w:lastRenderedPageBreak/>
              <w:t>рентабельность</w:t>
            </w:r>
          </w:p>
        </w:tc>
        <w:tc>
          <w:tcPr>
            <w:tcW w:w="567" w:type="dxa"/>
          </w:tcPr>
          <w:p w:rsidR="00D07588" w:rsidRPr="00D73AD5" w:rsidRDefault="00D07588" w:rsidP="007542A1">
            <w:pPr>
              <w:adjustRightInd w:val="0"/>
              <w:ind w:left="-108" w:right="-108"/>
              <w:contextualSpacing/>
              <w:jc w:val="center"/>
              <w:outlineLvl w:val="1"/>
              <w:rPr>
                <w:rFonts w:ascii="Times New Roman" w:hAnsi="Times New Roman"/>
                <w:sz w:val="24"/>
                <w:szCs w:val="24"/>
                <w:shd w:val="clear" w:color="auto" w:fill="FFFFFF"/>
              </w:rPr>
            </w:pP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39,6%</w:t>
            </w:r>
          </w:p>
        </w:tc>
        <w:tc>
          <w:tcPr>
            <w:tcW w:w="1134"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p>
        </w:tc>
        <w:tc>
          <w:tcPr>
            <w:tcW w:w="1276" w:type="dxa"/>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2,9%</w:t>
            </w:r>
          </w:p>
        </w:tc>
        <w:tc>
          <w:tcPr>
            <w:tcW w:w="1361" w:type="dxa"/>
          </w:tcPr>
          <w:p w:rsidR="00D07588" w:rsidRPr="00D73AD5" w:rsidRDefault="00D07588" w:rsidP="007542A1">
            <w:pPr>
              <w:adjustRightInd w:val="0"/>
              <w:contextualSpacing/>
              <w:jc w:val="both"/>
              <w:outlineLvl w:val="1"/>
              <w:rPr>
                <w:rFonts w:ascii="Times New Roman" w:hAnsi="Times New Roman"/>
                <w:i/>
                <w:sz w:val="24"/>
                <w:szCs w:val="24"/>
                <w:shd w:val="clear" w:color="auto" w:fill="FFFFFF"/>
              </w:rPr>
            </w:pPr>
          </w:p>
        </w:tc>
        <w:tc>
          <w:tcPr>
            <w:tcW w:w="1361" w:type="dxa"/>
            <w:shd w:val="clear" w:color="auto" w:fill="FFFFFF"/>
          </w:tcPr>
          <w:p w:rsidR="00D07588" w:rsidRPr="00D73AD5" w:rsidRDefault="00D07588" w:rsidP="007542A1">
            <w:pPr>
              <w:adjustRightInd w:val="0"/>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15%</w:t>
            </w:r>
          </w:p>
        </w:tc>
      </w:tr>
    </w:tbl>
    <w:p w:rsidR="00D07588" w:rsidRPr="00D73AD5" w:rsidRDefault="00D07588" w:rsidP="00D07588">
      <w:pPr>
        <w:adjustRightInd w:val="0"/>
        <w:contextualSpacing/>
        <w:jc w:val="both"/>
        <w:outlineLvl w:val="1"/>
        <w:rPr>
          <w:rFonts w:ascii="Times New Roman" w:hAnsi="Times New Roman"/>
          <w:sz w:val="24"/>
          <w:szCs w:val="24"/>
          <w:shd w:val="clear" w:color="auto" w:fill="FFFFFF"/>
        </w:rPr>
      </w:pPr>
    </w:p>
    <w:p w:rsidR="00D07588" w:rsidRPr="00D73AD5" w:rsidRDefault="00D07588" w:rsidP="00D07588">
      <w:pPr>
        <w:adjustRightInd w:val="0"/>
        <w:ind w:firstLine="709"/>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Согласно пояснениям ОАО «ЯТЭК» на рассмотрении 22.06.2012 цены реализации продукции устанавливаются с учетом необходимой прибыли Общества в пределах 25-30 % рентабельности: в случае снижения цены, например, для ГУП «ЖКХ РС (Я)», необходимая прибыль обеспечивается за счет повышения цены для других покупателей продукции. Расчеты цен, требуемые Комиссией, в Обществе отсутствуют, что частично объясняется текучестью кадров: работник, которым производились данные расчеты в настоящее время в предприятии не работает и представить в материалы дела расчеты им произведенные в настоящее время не представляется возможным.</w:t>
      </w:r>
    </w:p>
    <w:p w:rsidR="00D07588" w:rsidRPr="00D73AD5" w:rsidRDefault="00D07588" w:rsidP="00D07588">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Также, ОАО «ЯТЭК» в материалы дела в обоснование цены реализации газоконденсатного котельного топлива по цене 9072, 43 руб./тн (с учетом НДС) в 2011 году представлена копия письма Председателя Государственного комитета по ценовой политике – Региональной комиссии Республики Саха (Якутия) (ГКЦ-РЭК РС (Я)) В.И. Лемешевой от 25.11.2011 №03-02тр-3954 в адрес коммерческого директора ОАО «ЯТЭК» А.А. Смирнова. Согласно данному письму, в расчете тарифов на тепловую энергию на 2012 год цена на газоконденсатное котельное топливо, поставляемое ОАО «ЯТЭК», принята в размере 9072, 43 руб. – на уровне цены на топливо, учтенной в тарифах на 2011 год.</w:t>
      </w:r>
    </w:p>
    <w:p w:rsidR="00D07588" w:rsidRPr="00D73AD5" w:rsidRDefault="00D07588" w:rsidP="00D07588">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Кроме того, ОАО «ЯТЭК» в материалы дела представлены расчеты фактической стоимости выпуска ГКС и ГПБК за 2011 год, расчеты средней рекомендуемой цены реализации ГКС и ГПБК на 2011 г. (входящий регистрационный №3803 22.06.2012).</w:t>
      </w:r>
    </w:p>
    <w:p w:rsidR="00D07588" w:rsidRPr="00D73AD5" w:rsidRDefault="00D07588" w:rsidP="00D07588">
      <w:pPr>
        <w:pStyle w:val="a3"/>
        <w:ind w:firstLine="709"/>
        <w:jc w:val="both"/>
        <w:rPr>
          <w:rFonts w:cs="Times New Roman"/>
          <w:lang w:val="ru-RU"/>
        </w:rPr>
      </w:pPr>
      <w:r w:rsidRPr="00D73AD5">
        <w:rPr>
          <w:rStyle w:val="FontStyle25"/>
          <w:sz w:val="24"/>
          <w:szCs w:val="24"/>
          <w:lang w:val="ru-RU"/>
        </w:rPr>
        <w:t>К</w:t>
      </w:r>
      <w:r w:rsidRPr="00D73AD5">
        <w:rPr>
          <w:rFonts w:cs="Times New Roman"/>
          <w:lang w:val="ru-RU"/>
        </w:rPr>
        <w:t xml:space="preserve">омиссия Управления Федеральной антимонопольной службы по Республике Саха (Якутия), заслушав объяснения лиц, участвующих в деле, изучив имеющиеся в материалах дела документы, пришла к следующим выводам. </w:t>
      </w:r>
    </w:p>
    <w:p w:rsidR="00D07588" w:rsidRPr="00D73AD5" w:rsidRDefault="00D07588" w:rsidP="00D07588">
      <w:pPr>
        <w:pStyle w:val="a3"/>
        <w:ind w:firstLine="709"/>
        <w:jc w:val="both"/>
        <w:rPr>
          <w:rFonts w:cs="Times New Roman"/>
          <w:lang w:val="ru-RU"/>
        </w:rPr>
      </w:pPr>
      <w:r w:rsidRPr="00D73AD5">
        <w:rPr>
          <w:rFonts w:cs="Times New Roman"/>
          <w:lang w:val="ru-RU"/>
        </w:rPr>
        <w:t>Согласно аналитическому отчету о состоянии конкуренции на рынке оптовой реализации  газового конденсата стабильного, используемого в качестве котельного топлива, и газоконденсатного печного бытового котельного топлива на территории Республики Саха (Якутия), составленному по результатам исследования данного товарного рынка, проведенного в связи рассмотрением дел №02-7/12А, №02-82/12А и утвержденного Руководителем УФАС по РС (Я) Ю.А. Игнатьевым 19.06.2012 г.  ОАО «ЯТЭК» занимает долю более 50% на рынке оптовой реализации  газового конденсата стабильного, используемого в качестве котельного топлива, и газоконденсатного печного бытового котельного топлива на территории Республики Саха (Якутия).</w:t>
      </w:r>
    </w:p>
    <w:p w:rsidR="00D07588" w:rsidRPr="00D73AD5" w:rsidRDefault="00D07588" w:rsidP="00D07588">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Комиссией установлено и ОАО «ЯТЭК» не опровергаются такие фактические обстоятельства, как установление различных цен на один и тот же товар:</w:t>
      </w:r>
    </w:p>
    <w:p w:rsidR="00D07588" w:rsidRPr="00D73AD5" w:rsidRDefault="00D07588" w:rsidP="00D07588">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1) на газовый конденсат стабильный, используемый в качестве котельного топлива:</w:t>
      </w:r>
    </w:p>
    <w:p w:rsidR="00D07588" w:rsidRPr="00D73AD5" w:rsidRDefault="00D07588" w:rsidP="00D07588">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 в январе 2011 г.: 9072,43 руб./тн. и 8780,08 руб./тн. с учетом НДС;</w:t>
      </w:r>
    </w:p>
    <w:p w:rsidR="00D07588" w:rsidRPr="00D73AD5" w:rsidRDefault="00D07588" w:rsidP="00D07588">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 в феврале 2011 г.: 9072,43 руб./тн., 12000 руб./тн., 12564 руб./тн. с учетом НДС;</w:t>
      </w:r>
    </w:p>
    <w:p w:rsidR="00D07588" w:rsidRPr="00D73AD5" w:rsidRDefault="00D07588" w:rsidP="00D07588">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 в апреле 2011 г.: 12564,0 руб./тн. и 9072,43 руб./тн. с учетом НДС;</w:t>
      </w:r>
    </w:p>
    <w:p w:rsidR="00D07588" w:rsidRPr="00D73AD5" w:rsidRDefault="00D07588" w:rsidP="00D07588">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 в июне 2011 г.: 17995,0 руб./тн. и 9072,43 руб./тн. с учетом НДС;</w:t>
      </w:r>
    </w:p>
    <w:p w:rsidR="00D07588" w:rsidRPr="00D73AD5" w:rsidRDefault="00D07588" w:rsidP="00D07588">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 в сентябре 2011 г.: 15000,0 руб./тн. и 9072,43 руб./тн. с учетом НДС;</w:t>
      </w:r>
    </w:p>
    <w:p w:rsidR="00D07588" w:rsidRPr="00D73AD5" w:rsidRDefault="00D07588" w:rsidP="00D07588">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 в октябре 2011 г.: 12500,0 руб./тн. и 9072,43 руб./тн. с учетом НДС;</w:t>
      </w:r>
    </w:p>
    <w:p w:rsidR="00D07588" w:rsidRPr="00D73AD5" w:rsidRDefault="00D07588" w:rsidP="00D07588">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 в декабре 2011 г.: 17995 руб./тн., 15000,0 руб./тн., 12500,0 руб./тн. и 9072,43 руб./тн. с учетом НДС.</w:t>
      </w:r>
    </w:p>
    <w:p w:rsidR="00D07588" w:rsidRPr="00D73AD5" w:rsidRDefault="00D07588" w:rsidP="00D07588">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2) на газоконденсатное котельное топливо (покупное):</w:t>
      </w:r>
    </w:p>
    <w:p w:rsidR="00D07588" w:rsidRPr="00D73AD5" w:rsidRDefault="00D07588" w:rsidP="00D07588">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lastRenderedPageBreak/>
        <w:t xml:space="preserve"> - в июне 2011 г.: 17995,0 руб./тн. и 9072,43 руб./тн. с учетом НДС.</w:t>
      </w:r>
    </w:p>
    <w:p w:rsidR="00D07588" w:rsidRPr="00D73AD5" w:rsidRDefault="00D07588" w:rsidP="00D07588">
      <w:pPr>
        <w:pStyle w:val="a4"/>
        <w:ind w:left="0" w:firstLine="709"/>
        <w:rPr>
          <w:szCs w:val="24"/>
          <w:shd w:val="clear" w:color="auto" w:fill="FFFFFF"/>
        </w:rPr>
      </w:pPr>
      <w:r w:rsidRPr="00D73AD5">
        <w:rPr>
          <w:szCs w:val="24"/>
        </w:rPr>
        <w:t xml:space="preserve">Довод ОАО «ЯТЭК» об установлении цен реализации ГКС и ГПБК в зависимости от </w:t>
      </w:r>
      <w:r w:rsidRPr="00D73AD5">
        <w:rPr>
          <w:szCs w:val="24"/>
          <w:shd w:val="clear" w:color="auto" w:fill="FFFFFF"/>
        </w:rPr>
        <w:t>объема поставки и формы, момента оплаты Комиссией отклоняется по следующим основаниям.</w:t>
      </w:r>
    </w:p>
    <w:p w:rsidR="00D07588" w:rsidRPr="00D73AD5" w:rsidRDefault="00D07588" w:rsidP="00D07588">
      <w:pPr>
        <w:ind w:firstLine="709"/>
        <w:contextualSpacing/>
        <w:jc w:val="both"/>
        <w:rPr>
          <w:rFonts w:ascii="Times New Roman" w:hAnsi="Times New Roman"/>
          <w:sz w:val="24"/>
          <w:szCs w:val="24"/>
        </w:rPr>
      </w:pPr>
      <w:r w:rsidRPr="00D73AD5">
        <w:rPr>
          <w:rFonts w:ascii="Times New Roman" w:hAnsi="Times New Roman"/>
          <w:sz w:val="24"/>
          <w:szCs w:val="24"/>
        </w:rPr>
        <w:t>ГКС, производимый ОАО «ЯТЭК», по физико-химическим характеристикам и по функциональному назначению не различается. Соответственно, различия по себестоимости 1 тн. производимого ОАО «ЯТЭК» топлива в период одного месяца не возникает.</w:t>
      </w:r>
    </w:p>
    <w:p w:rsidR="00D07588" w:rsidRPr="00D73AD5" w:rsidRDefault="00D07588" w:rsidP="00D07588">
      <w:pPr>
        <w:ind w:firstLine="709"/>
        <w:contextualSpacing/>
        <w:jc w:val="both"/>
        <w:rPr>
          <w:rFonts w:ascii="Times New Roman" w:hAnsi="Times New Roman"/>
          <w:sz w:val="24"/>
          <w:szCs w:val="24"/>
        </w:rPr>
      </w:pPr>
      <w:r w:rsidRPr="00D73AD5">
        <w:rPr>
          <w:rFonts w:ascii="Times New Roman" w:hAnsi="Times New Roman"/>
          <w:sz w:val="24"/>
          <w:szCs w:val="24"/>
        </w:rPr>
        <w:t>ГПБК, производимое ОАО «ЯТЭК», по физико-химическим характеристикам и по функциональному назначению не различается. Соответственно, различия по себестоимости 1 тн. производимого ОАО «ЯТЭК» топлива в период одного месяца не возникает.</w:t>
      </w:r>
    </w:p>
    <w:p w:rsidR="00D07588" w:rsidRPr="00D73AD5" w:rsidRDefault="00D07588" w:rsidP="00D07588">
      <w:pPr>
        <w:ind w:firstLine="709"/>
        <w:contextualSpacing/>
        <w:jc w:val="both"/>
        <w:rPr>
          <w:rFonts w:ascii="Times New Roman" w:hAnsi="Times New Roman"/>
          <w:sz w:val="24"/>
          <w:szCs w:val="24"/>
        </w:rPr>
      </w:pPr>
      <w:r w:rsidRPr="00D73AD5">
        <w:rPr>
          <w:rFonts w:ascii="Times New Roman" w:hAnsi="Times New Roman"/>
          <w:sz w:val="24"/>
          <w:szCs w:val="24"/>
        </w:rPr>
        <w:t>По операциям по отпуску и ГКС и ГПБК разница в выполняемых операциях предусмотрена только между видами транспорта, в который производится отпуск топлива: водный и наземный транспорт.</w:t>
      </w:r>
    </w:p>
    <w:p w:rsidR="00D07588" w:rsidRPr="00D73AD5" w:rsidRDefault="00D07588" w:rsidP="00D07588">
      <w:pPr>
        <w:ind w:firstLine="709"/>
        <w:contextualSpacing/>
        <w:jc w:val="both"/>
        <w:rPr>
          <w:rFonts w:ascii="Times New Roman" w:hAnsi="Times New Roman"/>
          <w:sz w:val="24"/>
          <w:szCs w:val="24"/>
        </w:rPr>
      </w:pPr>
      <w:r w:rsidRPr="00D73AD5">
        <w:rPr>
          <w:rFonts w:ascii="Times New Roman" w:hAnsi="Times New Roman"/>
          <w:sz w:val="24"/>
          <w:szCs w:val="24"/>
        </w:rPr>
        <w:t xml:space="preserve">Таким образом, набор операций, оказываемых ОАО «ЯТЭК» при отпуске и ГКС и ГПБК, является единым по всем видам топлив для всех покупателей, независимо от назначения топлива и лица, его приобретающего. </w:t>
      </w:r>
    </w:p>
    <w:p w:rsidR="00D07588" w:rsidRPr="00D73AD5" w:rsidRDefault="00D07588" w:rsidP="00D07588">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 xml:space="preserve">По данным документов (карточки счета 90.01, счета-фактуры, товарные накладные) цена реализации ГКС в размере 9072,43 руб/тн. (с учетом НДС 18%) применяется ОАО «ЯТЭК» как при поставке топлива для ГУП «ЖКХ РС (Я)», объем приобретения ГКС которым  в 2011 году занимает 85 процентов от общего объема реализации ГКС ОАО «ЯТЭК» (39474,74 тн*100%/46439,472 тн), так и при поставке топлива для ООО «Жемкон», МУП «ЖКС Хангаласского улуса», ООО «Управляющая компания Эрэл», ООО «Строительное управление-888», чей общий объем приобретения за 2011 год занимает всего 4,47 процента от общего объема реализации ГКС ОАО «ЯТЭК» (2074,645 тн*100%/46439,472 тн). То есть цена на ГКС устанавливается вне зависимости от объема приобретаемого топлива. </w:t>
      </w:r>
    </w:p>
    <w:p w:rsidR="00D07588" w:rsidRPr="00D73AD5" w:rsidRDefault="00D07588" w:rsidP="00D07588">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Таким образом, довод ОАО «ЯТЭК» о том, что цена реализации зависит от объема приобретения не подтверждается и более того опровергается документами, имеющимися в материалах дела.</w:t>
      </w:r>
    </w:p>
    <w:p w:rsidR="00D07588" w:rsidRPr="00D73AD5" w:rsidRDefault="00D07588" w:rsidP="00D07588">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По объему поставки ГПБК также разница практически отсутствует (250,0 тн. –ГУП ЖКХ РС (Я) и 261,2 тн.- ОАО «СНГС»). То есть цена на ГПБК устанавливается вне зависимости от объема приобретаемого топлива.</w:t>
      </w:r>
    </w:p>
    <w:p w:rsidR="00D07588" w:rsidRPr="00D73AD5" w:rsidRDefault="00D07588" w:rsidP="00D07588">
      <w:pPr>
        <w:adjustRightInd w:val="0"/>
        <w:ind w:firstLine="709"/>
        <w:contextualSpacing/>
        <w:jc w:val="both"/>
        <w:outlineLvl w:val="2"/>
        <w:rPr>
          <w:rFonts w:ascii="Times New Roman" w:hAnsi="Times New Roman"/>
          <w:sz w:val="24"/>
          <w:szCs w:val="24"/>
        </w:rPr>
      </w:pPr>
      <w:r w:rsidRPr="00D73AD5">
        <w:rPr>
          <w:rFonts w:ascii="Times New Roman" w:hAnsi="Times New Roman"/>
          <w:sz w:val="24"/>
          <w:szCs w:val="24"/>
        </w:rPr>
        <w:t>Также отсутствует разница по участию покупателей в обращении товара по форме и моменту оплаты – для всех покупателей договорами установлено обязательство по  предварительной оплате за приобретаемое топливо и ГКС и ГПБК путем перечисления на расчетный счет Поставщика.</w:t>
      </w:r>
    </w:p>
    <w:p w:rsidR="00D07588" w:rsidRPr="00D73AD5" w:rsidRDefault="00D07588" w:rsidP="00D07588">
      <w:pPr>
        <w:adjustRightInd w:val="0"/>
        <w:ind w:firstLine="709"/>
        <w:contextualSpacing/>
        <w:jc w:val="both"/>
        <w:rPr>
          <w:rFonts w:ascii="Times New Roman" w:hAnsi="Times New Roman"/>
          <w:sz w:val="24"/>
          <w:szCs w:val="24"/>
        </w:rPr>
      </w:pPr>
      <w:r w:rsidRPr="00D73AD5">
        <w:rPr>
          <w:rFonts w:ascii="Times New Roman" w:hAnsi="Times New Roman"/>
          <w:sz w:val="24"/>
          <w:szCs w:val="24"/>
        </w:rPr>
        <w:t>Довод ОАО «ЯТЭК» об установлении цены на газоконденсатное котельное топливо (ГКС и ГПБК) в размере 9072,43 руб./тн. (с НДС) Государственным комитетом по ценовой политике - РЭК РС (Я) Комиссией отклоняется ввиду следующего.</w:t>
      </w:r>
    </w:p>
    <w:p w:rsidR="00D07588" w:rsidRPr="00D73AD5" w:rsidRDefault="00D07588" w:rsidP="00D07588">
      <w:pPr>
        <w:adjustRightInd w:val="0"/>
        <w:ind w:firstLine="709"/>
        <w:contextualSpacing/>
        <w:jc w:val="both"/>
        <w:rPr>
          <w:rFonts w:ascii="Times New Roman" w:hAnsi="Times New Roman"/>
          <w:sz w:val="24"/>
          <w:szCs w:val="24"/>
        </w:rPr>
      </w:pPr>
      <w:r w:rsidRPr="00D73AD5">
        <w:rPr>
          <w:rFonts w:ascii="Times New Roman" w:hAnsi="Times New Roman"/>
          <w:sz w:val="24"/>
          <w:szCs w:val="24"/>
        </w:rPr>
        <w:t>Согласно Указу Президента РФ от 28.02.1995 N 221 «О мерах по упорядочению государственного регулирования цен (тарифов)» цены на газовый конденсат стабильный, используемый в качестве котельного топлива, и газоконденсатное печное котельное топливо не подлежат государственному регулированию.</w:t>
      </w:r>
    </w:p>
    <w:p w:rsidR="00D07588" w:rsidRPr="00D73AD5" w:rsidRDefault="00D07588" w:rsidP="00D07588">
      <w:pPr>
        <w:adjustRightInd w:val="0"/>
        <w:ind w:firstLine="709"/>
        <w:contextualSpacing/>
        <w:jc w:val="both"/>
        <w:rPr>
          <w:rFonts w:ascii="Times New Roman" w:hAnsi="Times New Roman"/>
          <w:sz w:val="24"/>
          <w:szCs w:val="24"/>
        </w:rPr>
      </w:pPr>
      <w:r w:rsidRPr="00D73AD5">
        <w:rPr>
          <w:rFonts w:ascii="Times New Roman" w:hAnsi="Times New Roman"/>
          <w:sz w:val="24"/>
          <w:szCs w:val="24"/>
        </w:rPr>
        <w:lastRenderedPageBreak/>
        <w:t>Соответственно, в Положении о ГКЦ-РЭК РС (Я), утвержденном Постановлением Правительства РС (Я) от 22.11.2007 N 468, отсутствуют полномочия ГКЦ-РЭК РС (Я) по установлению цен на указанные виды продукции (товары).</w:t>
      </w:r>
    </w:p>
    <w:p w:rsidR="007542A1" w:rsidRDefault="00D07588" w:rsidP="007542A1">
      <w:pPr>
        <w:adjustRightInd w:val="0"/>
        <w:ind w:firstLine="709"/>
        <w:contextualSpacing/>
        <w:jc w:val="both"/>
        <w:outlineLvl w:val="1"/>
        <w:rPr>
          <w:rFonts w:ascii="Times New Roman" w:hAnsi="Times New Roman"/>
          <w:sz w:val="24"/>
          <w:szCs w:val="24"/>
        </w:rPr>
      </w:pPr>
      <w:r w:rsidRPr="00D73AD5">
        <w:rPr>
          <w:rFonts w:ascii="Times New Roman" w:hAnsi="Times New Roman"/>
          <w:sz w:val="24"/>
          <w:szCs w:val="24"/>
        </w:rPr>
        <w:t xml:space="preserve">Исходя из вышеизложенного, ГКЦ-РЭК РС (Я), не имея законных полномочий на то, никоим образом не могло установить цены на газовый конденсат стабильный, используемый в качестве котельного топлива, и газоконденсатное печное котельное топливо, реализуемое ОАО «ЯТЭК». Более того, представленное Комиссии письмо является информационным письмом о принятой цене на газоконденсатное котельное топливо при расчете тарифов на тепловую энергию, а не нормативно-правовым актом, устанавливающим цену реализации ГКТ Обществом. </w:t>
      </w:r>
    </w:p>
    <w:p w:rsidR="007542A1" w:rsidRDefault="00D07588" w:rsidP="007542A1">
      <w:pPr>
        <w:adjustRightInd w:val="0"/>
        <w:ind w:firstLine="709"/>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rPr>
        <w:t xml:space="preserve">Довод ОАО «ЯТЭК» об установлении цен путем снижения </w:t>
      </w:r>
      <w:r w:rsidRPr="00D73AD5">
        <w:rPr>
          <w:rFonts w:ascii="Times New Roman" w:hAnsi="Times New Roman"/>
          <w:sz w:val="24"/>
          <w:szCs w:val="24"/>
          <w:shd w:val="clear" w:color="auto" w:fill="FFFFFF"/>
        </w:rPr>
        <w:t>цены для одних покупателей за счет повышения цены для других покупателей продукции, по мнению Комиссии не может служить доказательством правомерности установления различных цен на один и тот же товар (продукцию).</w:t>
      </w:r>
    </w:p>
    <w:p w:rsidR="007542A1" w:rsidRDefault="00D07588" w:rsidP="007542A1">
      <w:pPr>
        <w:adjustRightInd w:val="0"/>
        <w:ind w:firstLine="709"/>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rPr>
        <w:t xml:space="preserve">Довод ОАО «ЯТЭК» об обоснованности установленных цен на котельное топливо путем распределения </w:t>
      </w:r>
      <w:r w:rsidRPr="00D73AD5">
        <w:rPr>
          <w:rFonts w:ascii="Times New Roman" w:hAnsi="Times New Roman"/>
          <w:sz w:val="24"/>
          <w:szCs w:val="24"/>
          <w:shd w:val="clear" w:color="auto" w:fill="FFFFFF"/>
        </w:rPr>
        <w:t>коммерческих, управленческих, прочих расходов и расходов по уплате процентов за пользование кредитными средствами  пропорционально объему выручки от реализации топлива ГУП «ЖКХ РС (Я)» и ОАО «Саханефтегазсбыт» отклоняется Комиссией ввиду следующего.</w:t>
      </w:r>
    </w:p>
    <w:p w:rsidR="00D07588" w:rsidRPr="00D73AD5" w:rsidRDefault="00D07588" w:rsidP="007542A1">
      <w:pPr>
        <w:adjustRightInd w:val="0"/>
        <w:ind w:firstLine="709"/>
        <w:contextualSpacing/>
        <w:jc w:val="both"/>
        <w:outlineLvl w:val="1"/>
        <w:rPr>
          <w:rFonts w:ascii="Times New Roman" w:hAnsi="Times New Roman"/>
          <w:sz w:val="24"/>
          <w:szCs w:val="24"/>
          <w:shd w:val="clear" w:color="auto" w:fill="FFFFFF"/>
        </w:rPr>
      </w:pPr>
      <w:r w:rsidRPr="00D73AD5">
        <w:rPr>
          <w:rFonts w:ascii="Times New Roman" w:hAnsi="Times New Roman"/>
          <w:sz w:val="24"/>
          <w:szCs w:val="24"/>
          <w:shd w:val="clear" w:color="auto" w:fill="FFFFFF"/>
        </w:rPr>
        <w:t>Согласно пояснениям представителя ОАО «ЯТЭК»  на рассмотрении 22.06.2011 котельное топливо (покупное), полученное от ЗАО «ЯКОЛ» по решению Арбитражного суда РС (Я) является топливом собственного производства ОАО «ЯТЭК».</w:t>
      </w:r>
    </w:p>
    <w:p w:rsidR="00D07588" w:rsidRPr="00D73AD5" w:rsidRDefault="00D07588" w:rsidP="00D07588">
      <w:pPr>
        <w:pStyle w:val="a4"/>
        <w:ind w:left="0" w:firstLine="709"/>
        <w:rPr>
          <w:szCs w:val="24"/>
          <w:shd w:val="clear" w:color="auto" w:fill="FFFFFF"/>
        </w:rPr>
      </w:pPr>
      <w:r w:rsidRPr="00D73AD5">
        <w:rPr>
          <w:szCs w:val="24"/>
          <w:shd w:val="clear" w:color="auto" w:fill="FFFFFF"/>
        </w:rPr>
        <w:t>В учетной политике в целях бухгалтерского учета, принятой ОАО «ЯТЭК» на 2011 год, порядок учета затрат на управленческие расходы не предусмотрен, кроме того, что данные расходы со счета 26 бухгалтерского учета общехозяйственных расходов относятся полностью на счет 90.08.1.</w:t>
      </w:r>
    </w:p>
    <w:p w:rsidR="00D07588" w:rsidRPr="00D73AD5" w:rsidRDefault="00D07588" w:rsidP="00D07588">
      <w:pPr>
        <w:pStyle w:val="a4"/>
        <w:ind w:left="0" w:firstLine="709"/>
        <w:rPr>
          <w:szCs w:val="24"/>
          <w:shd w:val="clear" w:color="auto" w:fill="FFFFFF"/>
        </w:rPr>
      </w:pPr>
      <w:r w:rsidRPr="00D73AD5">
        <w:rPr>
          <w:szCs w:val="24"/>
          <w:shd w:val="clear" w:color="auto" w:fill="FFFFFF"/>
        </w:rPr>
        <w:t>Согласно пояснениям к расшифровке распределения управленческих расходов на продукцию ГКС И ГПБК за 2011 г. ОАО «ЯТЭК», базой пропорции для распределения управленческих расходов является себестоимость реализованной продукции (письмо ОАО «ЯТЭК» вход. рег.№2425 20.04.2012).</w:t>
      </w:r>
    </w:p>
    <w:p w:rsidR="00D07588" w:rsidRPr="00D73AD5" w:rsidRDefault="00D07588" w:rsidP="00D07588">
      <w:pPr>
        <w:pStyle w:val="a4"/>
        <w:ind w:left="0" w:firstLine="709"/>
        <w:rPr>
          <w:szCs w:val="24"/>
          <w:shd w:val="clear" w:color="auto" w:fill="FFFFFF"/>
        </w:rPr>
      </w:pPr>
      <w:r w:rsidRPr="00D73AD5">
        <w:rPr>
          <w:szCs w:val="24"/>
          <w:shd w:val="clear" w:color="auto" w:fill="FFFFFF"/>
        </w:rPr>
        <w:t>Себестоимость 1 единицы продукции исчисляется путем деления расходов на производство и реализацию на количество произведенной (реализуемой) продукции.</w:t>
      </w:r>
    </w:p>
    <w:p w:rsidR="00D07588" w:rsidRPr="00D73AD5" w:rsidRDefault="00D07588" w:rsidP="00D07588">
      <w:pPr>
        <w:pStyle w:val="a4"/>
        <w:ind w:left="0" w:firstLine="709"/>
        <w:rPr>
          <w:szCs w:val="24"/>
          <w:shd w:val="clear" w:color="auto" w:fill="FFFFFF"/>
        </w:rPr>
      </w:pPr>
      <w:r w:rsidRPr="00D73AD5">
        <w:rPr>
          <w:szCs w:val="24"/>
          <w:shd w:val="clear" w:color="auto" w:fill="FFFFFF"/>
        </w:rPr>
        <w:t>Таким образом, базой пропорции для распределения управленческих расходов на единицу продукции является объем продукции, а не объем выручки.</w:t>
      </w:r>
    </w:p>
    <w:p w:rsidR="00D07588" w:rsidRPr="00D73AD5" w:rsidRDefault="00D07588" w:rsidP="00D07588">
      <w:pPr>
        <w:pStyle w:val="a4"/>
        <w:ind w:left="0" w:firstLine="709"/>
        <w:rPr>
          <w:szCs w:val="24"/>
        </w:rPr>
      </w:pPr>
      <w:r w:rsidRPr="00D73AD5">
        <w:rPr>
          <w:szCs w:val="24"/>
          <w:shd w:val="clear" w:color="auto" w:fill="FFFFFF"/>
        </w:rPr>
        <w:t>Отсутствие в предприятии экономических расчетов по определению стоимости  продукции, свидетельствует об отсутствии экономической обоснованности установленных цен на газовый конденсат стабильный, используемый</w:t>
      </w:r>
      <w:r w:rsidRPr="00D73AD5">
        <w:rPr>
          <w:szCs w:val="24"/>
        </w:rPr>
        <w:t xml:space="preserve"> в качестве котельного топлива, и топливо газоконденсатное печное бытовое котельное</w:t>
      </w:r>
      <w:r w:rsidRPr="00D73AD5">
        <w:rPr>
          <w:szCs w:val="24"/>
          <w:shd w:val="clear" w:color="auto" w:fill="FFFFFF"/>
        </w:rPr>
        <w:t xml:space="preserve">. </w:t>
      </w:r>
    </w:p>
    <w:p w:rsidR="00D07588" w:rsidRPr="00D73AD5" w:rsidRDefault="00D07588" w:rsidP="00D07588">
      <w:pPr>
        <w:pStyle w:val="a3"/>
        <w:ind w:firstLine="709"/>
        <w:contextualSpacing/>
        <w:jc w:val="both"/>
        <w:rPr>
          <w:rFonts w:cs="Times New Roman"/>
          <w:lang w:val="ru-RU"/>
        </w:rPr>
      </w:pPr>
      <w:r w:rsidRPr="00D73AD5">
        <w:rPr>
          <w:rFonts w:cs="Times New Roman"/>
          <w:lang w:val="ru-RU"/>
        </w:rPr>
        <w:t>На основании вышеизложенного, Комиссия УФАС по РС (Я) приходит к выводу о нарушении ОАО «Якутская топливно-энергетическая компания» пункта 6 части 1 статьи 10 Федерального закона «О защите конкуренции» посредством установления экономически, технологически и иным образом не обоснованных различных цен на один и тот же товар в географических границах Республики Саха (Якутия):</w:t>
      </w:r>
    </w:p>
    <w:p w:rsidR="00D07588" w:rsidRPr="00D73AD5" w:rsidRDefault="00D07588" w:rsidP="00D07588">
      <w:pPr>
        <w:pStyle w:val="a3"/>
        <w:ind w:firstLine="709"/>
        <w:contextualSpacing/>
        <w:jc w:val="both"/>
        <w:rPr>
          <w:rFonts w:cs="Times New Roman"/>
          <w:lang w:val="ru-RU"/>
        </w:rPr>
      </w:pPr>
      <w:r w:rsidRPr="00D73AD5">
        <w:rPr>
          <w:rFonts w:cs="Times New Roman"/>
          <w:lang w:val="ru-RU"/>
        </w:rPr>
        <w:t xml:space="preserve"> 1) на газовый конденсат стабильный, используемый в качестве котельного топлива:</w:t>
      </w:r>
    </w:p>
    <w:p w:rsidR="00D07588" w:rsidRPr="00D73AD5" w:rsidRDefault="00D07588" w:rsidP="00D07588">
      <w:pPr>
        <w:pStyle w:val="a3"/>
        <w:ind w:firstLine="709"/>
        <w:contextualSpacing/>
        <w:jc w:val="both"/>
        <w:rPr>
          <w:rFonts w:cs="Times New Roman"/>
          <w:lang w:val="ru-RU"/>
        </w:rPr>
      </w:pPr>
      <w:r w:rsidRPr="00D73AD5">
        <w:rPr>
          <w:rFonts w:cs="Times New Roman"/>
          <w:lang w:val="ru-RU"/>
        </w:rPr>
        <w:t>- в январе 2011 г.: 9072,43 руб./тн. и 8780,08 руб./тн. с учетом НДС;</w:t>
      </w:r>
    </w:p>
    <w:p w:rsidR="00D07588" w:rsidRPr="00D73AD5" w:rsidRDefault="00D07588" w:rsidP="00D07588">
      <w:pPr>
        <w:pStyle w:val="a3"/>
        <w:ind w:firstLine="709"/>
        <w:contextualSpacing/>
        <w:jc w:val="both"/>
        <w:rPr>
          <w:rFonts w:cs="Times New Roman"/>
          <w:lang w:val="ru-RU"/>
        </w:rPr>
      </w:pPr>
      <w:r w:rsidRPr="00D73AD5">
        <w:rPr>
          <w:rFonts w:cs="Times New Roman"/>
          <w:lang w:val="ru-RU"/>
        </w:rPr>
        <w:t>- в феврале 2011 г.: 9072,43 руб./тн., 12000 руб./тн., 12564 руб./тн. с учетом НДС;</w:t>
      </w:r>
    </w:p>
    <w:p w:rsidR="00D07588" w:rsidRPr="00D73AD5" w:rsidRDefault="00D07588" w:rsidP="00D07588">
      <w:pPr>
        <w:pStyle w:val="a3"/>
        <w:ind w:firstLine="709"/>
        <w:contextualSpacing/>
        <w:jc w:val="both"/>
        <w:rPr>
          <w:rFonts w:cs="Times New Roman"/>
          <w:lang w:val="ru-RU"/>
        </w:rPr>
      </w:pPr>
      <w:r w:rsidRPr="00D73AD5">
        <w:rPr>
          <w:rFonts w:cs="Times New Roman"/>
          <w:lang w:val="ru-RU"/>
        </w:rPr>
        <w:t>- в апреле 2011 г.: 12564,0 руб./тн. и 9072,43 руб./тн. с учетом НДС;</w:t>
      </w:r>
    </w:p>
    <w:p w:rsidR="00D07588" w:rsidRPr="00D73AD5" w:rsidRDefault="00D07588" w:rsidP="00D07588">
      <w:pPr>
        <w:pStyle w:val="a3"/>
        <w:ind w:firstLine="709"/>
        <w:contextualSpacing/>
        <w:jc w:val="both"/>
        <w:rPr>
          <w:rFonts w:cs="Times New Roman"/>
          <w:lang w:val="ru-RU"/>
        </w:rPr>
      </w:pPr>
      <w:r w:rsidRPr="00D73AD5">
        <w:rPr>
          <w:rFonts w:cs="Times New Roman"/>
          <w:lang w:val="ru-RU"/>
        </w:rPr>
        <w:lastRenderedPageBreak/>
        <w:t>- в июне 2011 г.: 17995,0 руб./тн. и 9072,43 руб./тн. с учетом НДС;</w:t>
      </w:r>
    </w:p>
    <w:p w:rsidR="00D07588" w:rsidRPr="00D73AD5" w:rsidRDefault="00D07588" w:rsidP="00D07588">
      <w:pPr>
        <w:pStyle w:val="a3"/>
        <w:ind w:firstLine="709"/>
        <w:contextualSpacing/>
        <w:jc w:val="both"/>
        <w:rPr>
          <w:rFonts w:cs="Times New Roman"/>
          <w:lang w:val="ru-RU"/>
        </w:rPr>
      </w:pPr>
      <w:r w:rsidRPr="00D73AD5">
        <w:rPr>
          <w:rFonts w:cs="Times New Roman"/>
          <w:lang w:val="ru-RU"/>
        </w:rPr>
        <w:t>- в сентябре 2011 г.: 15000,0 руб./тн. и 9072,43 руб./тн. с учетом НДС;</w:t>
      </w:r>
    </w:p>
    <w:p w:rsidR="00D07588" w:rsidRPr="00D73AD5" w:rsidRDefault="00D07588" w:rsidP="00D07588">
      <w:pPr>
        <w:pStyle w:val="a3"/>
        <w:ind w:firstLine="709"/>
        <w:contextualSpacing/>
        <w:jc w:val="both"/>
        <w:rPr>
          <w:rFonts w:cs="Times New Roman"/>
          <w:lang w:val="ru-RU"/>
        </w:rPr>
      </w:pPr>
      <w:r w:rsidRPr="00D73AD5">
        <w:rPr>
          <w:rFonts w:cs="Times New Roman"/>
          <w:lang w:val="ru-RU"/>
        </w:rPr>
        <w:t>- в октябре 2011 г.: 12500,0 руб./тн. и 9072,43 руб./тн. с учетом НДС;</w:t>
      </w:r>
    </w:p>
    <w:p w:rsidR="00D07588" w:rsidRPr="00D73AD5" w:rsidRDefault="00D07588" w:rsidP="00D07588">
      <w:pPr>
        <w:pStyle w:val="a3"/>
        <w:ind w:firstLine="709"/>
        <w:contextualSpacing/>
        <w:jc w:val="both"/>
        <w:rPr>
          <w:rFonts w:cs="Times New Roman"/>
          <w:lang w:val="ru-RU"/>
        </w:rPr>
      </w:pPr>
      <w:r w:rsidRPr="00D73AD5">
        <w:rPr>
          <w:rFonts w:cs="Times New Roman"/>
          <w:lang w:val="ru-RU"/>
        </w:rPr>
        <w:t>- в декабре 2011 г.: 17995 руб./тн., 15000,0 руб./тн., 12500,0 руб./тн. и 9072,43 руб./тн. с учетом НДС.</w:t>
      </w:r>
    </w:p>
    <w:p w:rsidR="00D07588" w:rsidRPr="00D73AD5" w:rsidRDefault="00D07588" w:rsidP="00D07588">
      <w:pPr>
        <w:pStyle w:val="a3"/>
        <w:ind w:firstLine="709"/>
        <w:contextualSpacing/>
        <w:jc w:val="both"/>
        <w:rPr>
          <w:rFonts w:cs="Times New Roman"/>
          <w:lang w:val="ru-RU"/>
        </w:rPr>
      </w:pPr>
      <w:r w:rsidRPr="00D73AD5">
        <w:rPr>
          <w:rFonts w:cs="Times New Roman"/>
          <w:lang w:val="ru-RU"/>
        </w:rPr>
        <w:t>2) на газоконденсатное котельное топливо (покупное):</w:t>
      </w:r>
    </w:p>
    <w:p w:rsidR="00D07588" w:rsidRPr="00D73AD5" w:rsidRDefault="00D07588" w:rsidP="00D07588">
      <w:pPr>
        <w:pStyle w:val="a3"/>
        <w:ind w:firstLine="709"/>
        <w:contextualSpacing/>
        <w:jc w:val="both"/>
        <w:rPr>
          <w:rFonts w:cs="Times New Roman"/>
          <w:lang w:val="ru-RU"/>
        </w:rPr>
      </w:pPr>
      <w:r w:rsidRPr="00D73AD5">
        <w:rPr>
          <w:rFonts w:cs="Times New Roman"/>
          <w:lang w:val="ru-RU"/>
        </w:rPr>
        <w:t xml:space="preserve"> - в июне 2011 г.: 17995,0 руб./тн. и 9072,43 руб./тн. с учетом НДС.</w:t>
      </w:r>
    </w:p>
    <w:p w:rsidR="00D07588" w:rsidRPr="00D73AD5" w:rsidRDefault="00D07588" w:rsidP="00D07588">
      <w:pPr>
        <w:pStyle w:val="a3"/>
        <w:ind w:firstLine="709"/>
        <w:contextualSpacing/>
        <w:jc w:val="both"/>
        <w:rPr>
          <w:rFonts w:cs="Times New Roman"/>
          <w:lang w:val="ru-RU"/>
        </w:rPr>
      </w:pPr>
      <w:r w:rsidRPr="00D73AD5">
        <w:rPr>
          <w:rFonts w:cs="Times New Roman"/>
          <w:lang w:val="ru-RU"/>
        </w:rPr>
        <w:t xml:space="preserve">На основании вышеизложенного Комиссия Управления Федеральной антимонопольной службы по Республике Саха (Якутия) по рассмотрению дела №02-82/12А от 06.07.2012г.  решила: </w:t>
      </w:r>
    </w:p>
    <w:p w:rsidR="00D07588" w:rsidRPr="00D73AD5" w:rsidRDefault="00D07588" w:rsidP="00D07588">
      <w:pPr>
        <w:pStyle w:val="a3"/>
        <w:ind w:firstLine="709"/>
        <w:contextualSpacing/>
        <w:jc w:val="both"/>
        <w:rPr>
          <w:rFonts w:cs="Times New Roman"/>
          <w:lang w:val="ru-RU"/>
        </w:rPr>
      </w:pPr>
      <w:r w:rsidRPr="00D73AD5">
        <w:rPr>
          <w:rFonts w:cs="Times New Roman"/>
          <w:lang w:val="ru-RU"/>
        </w:rPr>
        <w:t>1. Признать ОАО «Якутская топливно-энергетическая компания» занимающим доминирующее положение с долей более 50% на товарном рынке оптовой реализации газового конденсата стабильного, применяемого в качестве котельного топлива, и топлива газоконденсатного печного бытового котельного в географических границах Республики Саха (Якутия).</w:t>
      </w:r>
    </w:p>
    <w:p w:rsidR="00D07588" w:rsidRPr="00D73AD5" w:rsidRDefault="00D07588" w:rsidP="00D07588">
      <w:pPr>
        <w:pStyle w:val="a3"/>
        <w:ind w:firstLine="709"/>
        <w:contextualSpacing/>
        <w:jc w:val="both"/>
        <w:rPr>
          <w:rFonts w:cs="Times New Roman"/>
          <w:lang w:val="ru-RU"/>
        </w:rPr>
      </w:pPr>
      <w:r w:rsidRPr="00D73AD5">
        <w:rPr>
          <w:rFonts w:cs="Times New Roman"/>
          <w:lang w:val="ru-RU"/>
        </w:rPr>
        <w:t xml:space="preserve">2. Признать ОАО «Якутская топливно-энергетическая компания» нарушившим пункт 6 части 1 статьи 10 Федерального закона «О защите конкуренции» посредством установления экономически, технологически иным образом не обоснованных различных цен на газовый конденсат стабильный, применяемый в качестве котельного топлива, в январе, феврале, апреле, июне, сентябре, октябре, декабре 2011 г. в географических границах Республики Саха (Якутия) и топливо газоконденсатное печное бытовое котельное в июне 2011 г. в географических границах Республики Саха (Якутия). </w:t>
      </w:r>
    </w:p>
    <w:p w:rsidR="00D73AD5" w:rsidRDefault="00D07588" w:rsidP="00D73AD5">
      <w:pPr>
        <w:spacing w:after="0" w:line="240" w:lineRule="auto"/>
        <w:ind w:firstLine="567"/>
        <w:contextualSpacing/>
        <w:jc w:val="both"/>
        <w:rPr>
          <w:rFonts w:ascii="Times New Roman" w:hAnsi="Times New Roman"/>
          <w:sz w:val="24"/>
          <w:szCs w:val="24"/>
        </w:rPr>
      </w:pPr>
      <w:r w:rsidRPr="00D73AD5">
        <w:rPr>
          <w:rFonts w:ascii="Times New Roman" w:hAnsi="Times New Roman"/>
          <w:sz w:val="24"/>
          <w:szCs w:val="24"/>
        </w:rPr>
        <w:t xml:space="preserve"> Административным правонарушением признается противоправное, виновное  действие (бездействие) физического или юридического лица, за которое Кодексом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 (ч. 1 ст. 2.1 КоАП РФ).  </w:t>
      </w:r>
    </w:p>
    <w:p w:rsidR="00D07588" w:rsidRPr="00D73AD5" w:rsidRDefault="00D07588" w:rsidP="00D73AD5">
      <w:pPr>
        <w:spacing w:after="0" w:line="240" w:lineRule="auto"/>
        <w:ind w:firstLine="567"/>
        <w:contextualSpacing/>
        <w:jc w:val="both"/>
        <w:rPr>
          <w:rFonts w:ascii="Times New Roman" w:hAnsi="Times New Roman"/>
          <w:sz w:val="24"/>
          <w:szCs w:val="24"/>
        </w:rPr>
      </w:pPr>
      <w:r w:rsidRPr="00D73AD5">
        <w:rPr>
          <w:rFonts w:ascii="Times New Roman" w:hAnsi="Times New Roman"/>
          <w:sz w:val="24"/>
          <w:szCs w:val="24"/>
        </w:rPr>
        <w:t>Статьей 14.31 Кодекса РФ об административных правонарушениях предусмотрена административная ответственность за действия признаваемые злоупотреблением доминирующим положением и недопустимых в соответствии с антимонопольным законодательством.</w:t>
      </w:r>
    </w:p>
    <w:p w:rsidR="00D07588" w:rsidRDefault="00D07588" w:rsidP="00D73AD5">
      <w:pPr>
        <w:spacing w:after="0" w:line="240" w:lineRule="auto"/>
        <w:ind w:firstLine="567"/>
        <w:contextualSpacing/>
        <w:jc w:val="both"/>
        <w:rPr>
          <w:rFonts w:ascii="Times New Roman" w:hAnsi="Times New Roman"/>
          <w:sz w:val="24"/>
          <w:szCs w:val="24"/>
        </w:rPr>
      </w:pPr>
      <w:r w:rsidRPr="00D73AD5">
        <w:rPr>
          <w:rFonts w:ascii="Times New Roman" w:hAnsi="Times New Roman"/>
          <w:sz w:val="24"/>
          <w:szCs w:val="24"/>
        </w:rPr>
        <w:t xml:space="preserve">ОАО «ЯТЭК», нарушив пункт 6 части 1 статьи 10 Закона о защите конкуренции совершило административное правонарушение предусмотренное частью 1 статьей 14.31 Кодекса РФ об административных правонарушениях.  </w:t>
      </w:r>
    </w:p>
    <w:p w:rsidR="00D73AD5" w:rsidRPr="00D73AD5" w:rsidRDefault="00D73AD5" w:rsidP="00D73AD5">
      <w:pPr>
        <w:adjustRightInd w:val="0"/>
        <w:spacing w:after="0" w:line="240" w:lineRule="auto"/>
        <w:ind w:firstLine="567"/>
        <w:contextualSpacing/>
        <w:jc w:val="both"/>
        <w:outlineLvl w:val="2"/>
        <w:rPr>
          <w:rFonts w:ascii="Times New Roman" w:hAnsi="Times New Roman"/>
          <w:sz w:val="24"/>
          <w:szCs w:val="24"/>
        </w:rPr>
      </w:pPr>
      <w:r w:rsidRPr="00D73AD5">
        <w:rPr>
          <w:rFonts w:ascii="Times New Roman" w:hAnsi="Times New Roman"/>
          <w:sz w:val="24"/>
          <w:szCs w:val="24"/>
        </w:rPr>
        <w:t>Материалами дела подтверждено, что у ОАО «Якутская топливно-энергетическая компания» имелась возможность для соблюдения Федерального закона от 26.07.2006г. «О защите конкуренции», но данным лицом не были приняты все зависящие от него меры по их соблюдению.</w:t>
      </w:r>
    </w:p>
    <w:p w:rsidR="00D73AD5" w:rsidRPr="00D73AD5" w:rsidRDefault="00D73AD5" w:rsidP="00D73AD5">
      <w:pPr>
        <w:spacing w:after="0" w:line="240" w:lineRule="auto"/>
        <w:ind w:firstLine="567"/>
        <w:contextualSpacing/>
        <w:jc w:val="both"/>
        <w:rPr>
          <w:rFonts w:ascii="Times New Roman" w:hAnsi="Times New Roman"/>
          <w:sz w:val="24"/>
          <w:szCs w:val="24"/>
        </w:rPr>
      </w:pPr>
      <w:r w:rsidRPr="00D73AD5">
        <w:rPr>
          <w:rFonts w:ascii="Times New Roman" w:hAnsi="Times New Roman"/>
          <w:sz w:val="24"/>
          <w:szCs w:val="24"/>
        </w:rPr>
        <w:t>Таким образом, ОАО «Якутская топливно-энергетическая компания» осознавало противоправный характер своих действий по установлению различных цен на газовый конденсат стабильный, применяемый в качестве котельного топлива, в январе, феврале, апреле, июне, сентябре, октябре, декабре 2011 г. в географических границах Республики Саха (Якутия) и топливо газоконденсатное печное бытовое котельное в июне 2011 г. в географических границах Республики Саха (Якутия) в нарушение вышеуказанных норм, предвидело его вредные последствия и желало наступления таких последствий.</w:t>
      </w:r>
    </w:p>
    <w:p w:rsidR="00D07588" w:rsidRPr="00D73AD5" w:rsidRDefault="00D07588" w:rsidP="00D73AD5">
      <w:pPr>
        <w:adjustRightInd w:val="0"/>
        <w:spacing w:after="0" w:line="240" w:lineRule="auto"/>
        <w:ind w:firstLine="540"/>
        <w:contextualSpacing/>
        <w:jc w:val="both"/>
        <w:outlineLvl w:val="0"/>
        <w:rPr>
          <w:rFonts w:ascii="Times New Roman" w:eastAsiaTheme="minorHAnsi" w:hAnsi="Times New Roman"/>
          <w:sz w:val="24"/>
          <w:szCs w:val="24"/>
        </w:rPr>
      </w:pPr>
      <w:r w:rsidRPr="00D73AD5">
        <w:rPr>
          <w:rFonts w:ascii="Times New Roman" w:eastAsiaTheme="minorHAnsi" w:hAnsi="Times New Roman"/>
          <w:sz w:val="24"/>
          <w:szCs w:val="24"/>
        </w:rPr>
        <w:t>Согласно ч. 1 статья 1.7. Кодекса РФ об административных правонарушениях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D07588" w:rsidRPr="00D73AD5" w:rsidRDefault="00D07588" w:rsidP="00D73AD5">
      <w:pPr>
        <w:adjustRightInd w:val="0"/>
        <w:spacing w:after="0" w:line="240" w:lineRule="auto"/>
        <w:ind w:firstLine="567"/>
        <w:contextualSpacing/>
        <w:jc w:val="both"/>
        <w:rPr>
          <w:rFonts w:ascii="Times New Roman" w:eastAsiaTheme="minorHAnsi" w:hAnsi="Times New Roman"/>
          <w:sz w:val="24"/>
          <w:szCs w:val="24"/>
        </w:rPr>
      </w:pPr>
      <w:r w:rsidRPr="00D73AD5">
        <w:rPr>
          <w:rFonts w:ascii="Times New Roman" w:eastAsiaTheme="minorHAnsi" w:hAnsi="Times New Roman"/>
          <w:sz w:val="24"/>
          <w:szCs w:val="24"/>
        </w:rPr>
        <w:t xml:space="preserve">Во время совершения административного правонарушения - </w:t>
      </w:r>
      <w:r w:rsidRPr="00D73AD5">
        <w:rPr>
          <w:rFonts w:ascii="Times New Roman" w:hAnsi="Times New Roman"/>
          <w:sz w:val="24"/>
          <w:szCs w:val="24"/>
        </w:rPr>
        <w:t xml:space="preserve">установления ОАО «ЯТЭК» экономически, технологически иным образом не обоснованных различных цен на газовый конденсат стабильный, применяемый в качестве котельного топлива, в январе, </w:t>
      </w:r>
      <w:r w:rsidRPr="00D73AD5">
        <w:rPr>
          <w:rFonts w:ascii="Times New Roman" w:hAnsi="Times New Roman"/>
          <w:sz w:val="24"/>
          <w:szCs w:val="24"/>
        </w:rPr>
        <w:lastRenderedPageBreak/>
        <w:t xml:space="preserve">феврале, апреле, июне, сентябре, октябре, декабре 2011 г. в географических границах Республики Саха (Якутия) и топливо газоконденсатное печное бытовое котельное в июне 2011 г. в географических границах Республики Саха (Якутия) действовала ст. 14.31 в редакции </w:t>
      </w:r>
      <w:r w:rsidRPr="00D73AD5">
        <w:rPr>
          <w:rFonts w:ascii="Times New Roman" w:eastAsiaTheme="minorHAnsi" w:hAnsi="Times New Roman"/>
          <w:sz w:val="24"/>
          <w:szCs w:val="24"/>
        </w:rPr>
        <w:t xml:space="preserve">Федерального </w:t>
      </w:r>
      <w:hyperlink r:id="rId6" w:history="1">
        <w:r w:rsidRPr="00D73AD5">
          <w:rPr>
            <w:rFonts w:ascii="Times New Roman" w:eastAsiaTheme="minorHAnsi" w:hAnsi="Times New Roman"/>
            <w:color w:val="0000FF"/>
            <w:sz w:val="24"/>
            <w:szCs w:val="24"/>
          </w:rPr>
          <w:t>закона</w:t>
        </w:r>
      </w:hyperlink>
      <w:r w:rsidRPr="00D73AD5">
        <w:rPr>
          <w:rFonts w:ascii="Times New Roman" w:eastAsiaTheme="minorHAnsi" w:hAnsi="Times New Roman"/>
          <w:sz w:val="24"/>
          <w:szCs w:val="24"/>
        </w:rPr>
        <w:t xml:space="preserve"> от 17.07.2009 N 160-ФЗ.</w:t>
      </w:r>
    </w:p>
    <w:p w:rsidR="00D07588" w:rsidRPr="00D73AD5" w:rsidRDefault="00D07588" w:rsidP="00D73AD5">
      <w:pPr>
        <w:adjustRightInd w:val="0"/>
        <w:spacing w:after="0" w:line="240" w:lineRule="auto"/>
        <w:ind w:firstLine="540"/>
        <w:contextualSpacing/>
        <w:jc w:val="both"/>
        <w:rPr>
          <w:rFonts w:ascii="Times New Roman" w:eastAsiaTheme="minorHAnsi" w:hAnsi="Times New Roman"/>
          <w:sz w:val="24"/>
          <w:szCs w:val="24"/>
        </w:rPr>
      </w:pPr>
      <w:r w:rsidRPr="00D73AD5">
        <w:rPr>
          <w:rFonts w:ascii="Times New Roman" w:eastAsiaTheme="minorHAnsi" w:hAnsi="Times New Roman"/>
          <w:sz w:val="24"/>
          <w:szCs w:val="24"/>
        </w:rPr>
        <w:t xml:space="preserve">На момент </w:t>
      </w:r>
      <w:r w:rsidR="007542A1">
        <w:rPr>
          <w:rFonts w:ascii="Times New Roman" w:eastAsiaTheme="minorHAnsi" w:hAnsi="Times New Roman"/>
          <w:sz w:val="24"/>
          <w:szCs w:val="24"/>
        </w:rPr>
        <w:t>производства</w:t>
      </w:r>
      <w:r w:rsidR="00D73AD5">
        <w:rPr>
          <w:rFonts w:ascii="Times New Roman" w:eastAsiaTheme="minorHAnsi" w:hAnsi="Times New Roman"/>
          <w:sz w:val="24"/>
          <w:szCs w:val="24"/>
        </w:rPr>
        <w:t xml:space="preserve"> дела №02</w:t>
      </w:r>
      <w:r w:rsidR="007542A1">
        <w:rPr>
          <w:rFonts w:ascii="Times New Roman" w:eastAsiaTheme="minorHAnsi" w:hAnsi="Times New Roman"/>
          <w:sz w:val="24"/>
          <w:szCs w:val="24"/>
        </w:rPr>
        <w:t xml:space="preserve">-25/13-14.31 </w:t>
      </w:r>
      <w:r w:rsidRPr="00D73AD5">
        <w:rPr>
          <w:rFonts w:ascii="Times New Roman" w:eastAsiaTheme="minorHAnsi" w:hAnsi="Times New Roman"/>
          <w:sz w:val="24"/>
          <w:szCs w:val="24"/>
        </w:rPr>
        <w:t>об административном правонарушении действует статья 14.31 Кодекса РФ об административных правонарушениях, которая является двусоставной</w:t>
      </w:r>
      <w:r w:rsidR="007542A1">
        <w:rPr>
          <w:rFonts w:ascii="Times New Roman" w:eastAsiaTheme="minorHAnsi" w:hAnsi="Times New Roman"/>
          <w:sz w:val="24"/>
          <w:szCs w:val="24"/>
        </w:rPr>
        <w:t>:</w:t>
      </w:r>
    </w:p>
    <w:p w:rsidR="00D07588" w:rsidRPr="00D73AD5" w:rsidRDefault="00D07588" w:rsidP="00D73AD5">
      <w:pPr>
        <w:adjustRightInd w:val="0"/>
        <w:spacing w:after="0" w:line="240" w:lineRule="auto"/>
        <w:ind w:firstLine="540"/>
        <w:contextualSpacing/>
        <w:jc w:val="both"/>
        <w:rPr>
          <w:rFonts w:ascii="Times New Roman" w:eastAsiaTheme="minorHAnsi" w:hAnsi="Times New Roman"/>
          <w:sz w:val="24"/>
          <w:szCs w:val="24"/>
        </w:rPr>
      </w:pPr>
      <w:r w:rsidRPr="00D73AD5">
        <w:rPr>
          <w:rFonts w:ascii="Times New Roman" w:eastAsiaTheme="minorHAnsi" w:hAnsi="Times New Roman"/>
          <w:sz w:val="24"/>
          <w:szCs w:val="24"/>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7" w:history="1">
        <w:r w:rsidRPr="00D73AD5">
          <w:rPr>
            <w:rFonts w:ascii="Times New Roman" w:eastAsiaTheme="minorHAnsi" w:hAnsi="Times New Roman"/>
            <w:color w:val="0000FF"/>
            <w:sz w:val="24"/>
            <w:szCs w:val="24"/>
          </w:rPr>
          <w:t>законодательством</w:t>
        </w:r>
      </w:hyperlink>
      <w:r w:rsidRPr="00D73AD5">
        <w:rPr>
          <w:rFonts w:ascii="Times New Roman" w:eastAsiaTheme="minorHAnsi" w:hAnsi="Times New Roman"/>
          <w:sz w:val="24"/>
          <w:szCs w:val="24"/>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r:id="rId8" w:history="1">
        <w:r w:rsidRPr="00D73AD5">
          <w:rPr>
            <w:rFonts w:ascii="Times New Roman" w:eastAsiaTheme="minorHAnsi" w:hAnsi="Times New Roman"/>
            <w:color w:val="0000FF"/>
            <w:sz w:val="24"/>
            <w:szCs w:val="24"/>
          </w:rPr>
          <w:t>статьей 14.31.1</w:t>
        </w:r>
      </w:hyperlink>
      <w:r w:rsidRPr="00D73AD5">
        <w:rPr>
          <w:rFonts w:ascii="Times New Roman" w:eastAsiaTheme="minorHAnsi" w:hAnsi="Times New Roman"/>
          <w:sz w:val="24"/>
          <w:szCs w:val="24"/>
        </w:rPr>
        <w:t xml:space="preserve"> настоящего Кодекса, -</w:t>
      </w:r>
    </w:p>
    <w:p w:rsidR="00D07588" w:rsidRPr="00D73AD5" w:rsidRDefault="00D07588" w:rsidP="00D73AD5">
      <w:pPr>
        <w:adjustRightInd w:val="0"/>
        <w:spacing w:after="0" w:line="240" w:lineRule="auto"/>
        <w:ind w:firstLine="540"/>
        <w:contextualSpacing/>
        <w:jc w:val="both"/>
        <w:rPr>
          <w:rFonts w:ascii="Times New Roman" w:eastAsiaTheme="minorHAnsi" w:hAnsi="Times New Roman"/>
          <w:sz w:val="24"/>
          <w:szCs w:val="24"/>
        </w:rPr>
      </w:pPr>
      <w:r w:rsidRPr="00D73AD5">
        <w:rPr>
          <w:rFonts w:ascii="Times New Roman" w:eastAsiaTheme="minorHAnsi" w:hAnsi="Times New Roman"/>
          <w:sz w:val="24"/>
          <w:szCs w:val="24"/>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D07588" w:rsidRPr="00D73AD5" w:rsidRDefault="00D07588" w:rsidP="00D73AD5">
      <w:pPr>
        <w:adjustRightInd w:val="0"/>
        <w:spacing w:after="0" w:line="240" w:lineRule="auto"/>
        <w:ind w:firstLine="540"/>
        <w:contextualSpacing/>
        <w:jc w:val="both"/>
        <w:rPr>
          <w:rFonts w:ascii="Times New Roman" w:eastAsiaTheme="minorHAnsi" w:hAnsi="Times New Roman"/>
          <w:sz w:val="24"/>
          <w:szCs w:val="24"/>
        </w:rPr>
      </w:pPr>
      <w:r w:rsidRPr="00D73AD5">
        <w:rPr>
          <w:rFonts w:ascii="Times New Roman" w:eastAsiaTheme="minorHAnsi" w:hAnsi="Times New Roman"/>
          <w:sz w:val="24"/>
          <w:szCs w:val="24"/>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r:id="rId9" w:history="1">
        <w:r w:rsidRPr="00D73AD5">
          <w:rPr>
            <w:rFonts w:ascii="Times New Roman" w:eastAsiaTheme="minorHAnsi" w:hAnsi="Times New Roman"/>
            <w:color w:val="0000FF"/>
            <w:sz w:val="24"/>
            <w:szCs w:val="24"/>
          </w:rPr>
          <w:t>статьей 14.31.1</w:t>
        </w:r>
      </w:hyperlink>
      <w:r w:rsidRPr="00D73AD5">
        <w:rPr>
          <w:rFonts w:ascii="Times New Roman" w:eastAsiaTheme="minorHAnsi" w:hAnsi="Times New Roman"/>
          <w:sz w:val="24"/>
          <w:szCs w:val="24"/>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D07588" w:rsidRPr="00D73AD5" w:rsidRDefault="00D07588" w:rsidP="00D73AD5">
      <w:pPr>
        <w:adjustRightInd w:val="0"/>
        <w:spacing w:after="0" w:line="240" w:lineRule="auto"/>
        <w:ind w:firstLine="540"/>
        <w:contextualSpacing/>
        <w:jc w:val="both"/>
        <w:rPr>
          <w:rFonts w:ascii="Times New Roman" w:eastAsiaTheme="minorHAnsi" w:hAnsi="Times New Roman"/>
          <w:sz w:val="24"/>
          <w:szCs w:val="24"/>
        </w:rPr>
      </w:pPr>
      <w:r w:rsidRPr="00D73AD5">
        <w:rPr>
          <w:rFonts w:ascii="Times New Roman" w:eastAsiaTheme="minorHAnsi" w:hAnsi="Times New Roman"/>
          <w:sz w:val="24"/>
          <w:szCs w:val="24"/>
        </w:rPr>
        <w:t xml:space="preserve">влечет наложение административного штрафа на должностных лиц в размере от двадцати тысяч до пятидесяти тысяч рублей либо </w:t>
      </w:r>
      <w:hyperlink r:id="rId10" w:history="1">
        <w:r w:rsidRPr="00D73AD5">
          <w:rPr>
            <w:rFonts w:ascii="Times New Roman" w:eastAsiaTheme="minorHAnsi" w:hAnsi="Times New Roman"/>
            <w:color w:val="0000FF"/>
            <w:sz w:val="24"/>
            <w:szCs w:val="24"/>
          </w:rPr>
          <w:t>дисквалификацию</w:t>
        </w:r>
      </w:hyperlink>
      <w:r w:rsidRPr="00D73AD5">
        <w:rPr>
          <w:rFonts w:ascii="Times New Roman" w:eastAsiaTheme="minorHAnsi" w:hAnsi="Times New Roman"/>
          <w:sz w:val="24"/>
          <w:szCs w:val="24"/>
        </w:rPr>
        <w:t xml:space="preserve">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D07588" w:rsidRPr="00D73AD5" w:rsidRDefault="00D07588" w:rsidP="00D73AD5">
      <w:pPr>
        <w:adjustRightInd w:val="0"/>
        <w:spacing w:after="0" w:line="240" w:lineRule="auto"/>
        <w:ind w:firstLine="540"/>
        <w:contextualSpacing/>
        <w:jc w:val="both"/>
        <w:rPr>
          <w:rFonts w:ascii="Times New Roman" w:eastAsiaTheme="minorHAnsi" w:hAnsi="Times New Roman"/>
          <w:sz w:val="24"/>
          <w:szCs w:val="24"/>
        </w:rPr>
      </w:pPr>
      <w:r w:rsidRPr="00D73AD5">
        <w:rPr>
          <w:rFonts w:ascii="Times New Roman" w:eastAsiaTheme="minorHAnsi" w:hAnsi="Times New Roman"/>
          <w:sz w:val="24"/>
          <w:szCs w:val="24"/>
        </w:rPr>
        <w:t xml:space="preserve">Согласно части 2 статьи 1.7 Кодекса РФ об административных правонарушениях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w:t>
      </w:r>
      <w:r w:rsidRPr="00D73AD5">
        <w:rPr>
          <w:rFonts w:ascii="Times New Roman" w:eastAsiaTheme="minorHAnsi" w:hAnsi="Times New Roman"/>
          <w:sz w:val="24"/>
          <w:szCs w:val="24"/>
        </w:rPr>
        <w:lastRenderedPageBreak/>
        <w:t>административную ответственность за административное правонарушение либо иным образом ухудшающий положение лица, обратной силы не имеет.</w:t>
      </w:r>
    </w:p>
    <w:p w:rsidR="00D07588" w:rsidRPr="00D73AD5" w:rsidRDefault="00D07588" w:rsidP="00D73AD5">
      <w:pPr>
        <w:adjustRightInd w:val="0"/>
        <w:spacing w:after="0" w:line="240" w:lineRule="auto"/>
        <w:ind w:firstLine="540"/>
        <w:contextualSpacing/>
        <w:jc w:val="both"/>
        <w:rPr>
          <w:rFonts w:ascii="Times New Roman" w:eastAsiaTheme="minorHAnsi" w:hAnsi="Times New Roman"/>
          <w:sz w:val="24"/>
          <w:szCs w:val="24"/>
        </w:rPr>
      </w:pPr>
      <w:r w:rsidRPr="00D73AD5">
        <w:rPr>
          <w:rFonts w:ascii="Times New Roman" w:hAnsi="Times New Roman"/>
          <w:sz w:val="24"/>
          <w:szCs w:val="24"/>
        </w:rPr>
        <w:t xml:space="preserve">Действия ОАО «ЯТЭК» установленные </w:t>
      </w:r>
      <w:r w:rsidR="007542A1">
        <w:rPr>
          <w:rFonts w:ascii="Times New Roman" w:hAnsi="Times New Roman"/>
          <w:sz w:val="24"/>
          <w:szCs w:val="24"/>
        </w:rPr>
        <w:t>материалами настоящего дела к</w:t>
      </w:r>
      <w:r w:rsidRPr="00D73AD5">
        <w:rPr>
          <w:rFonts w:ascii="Times New Roman" w:hAnsi="Times New Roman"/>
          <w:sz w:val="24"/>
          <w:szCs w:val="24"/>
        </w:rPr>
        <w:t>валифицируются как с</w:t>
      </w:r>
      <w:r w:rsidRPr="00D73AD5">
        <w:rPr>
          <w:rFonts w:ascii="Times New Roman" w:eastAsiaTheme="minorHAnsi" w:hAnsi="Times New Roman"/>
          <w:sz w:val="24"/>
          <w:szCs w:val="24"/>
        </w:rPr>
        <w:t xml:space="preserve">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w:t>
      </w:r>
      <w:hyperlink r:id="rId11" w:history="1">
        <w:r w:rsidRPr="00D73AD5">
          <w:rPr>
            <w:rFonts w:ascii="Times New Roman" w:eastAsiaTheme="minorHAnsi" w:hAnsi="Times New Roman"/>
            <w:sz w:val="24"/>
            <w:szCs w:val="24"/>
          </w:rPr>
          <w:t>законодательством</w:t>
        </w:r>
      </w:hyperlink>
      <w:r w:rsidRPr="00D73AD5">
        <w:rPr>
          <w:rFonts w:ascii="Times New Roman" w:eastAsiaTheme="minorHAnsi" w:hAnsi="Times New Roman"/>
          <w:sz w:val="24"/>
          <w:szCs w:val="24"/>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w:t>
      </w:r>
    </w:p>
    <w:p w:rsidR="00D07588" w:rsidRPr="00D73AD5" w:rsidRDefault="00D07588" w:rsidP="00D73AD5">
      <w:pPr>
        <w:spacing w:after="0" w:line="240" w:lineRule="auto"/>
        <w:ind w:firstLine="567"/>
        <w:contextualSpacing/>
        <w:jc w:val="both"/>
        <w:rPr>
          <w:rFonts w:ascii="Times New Roman" w:hAnsi="Times New Roman"/>
          <w:sz w:val="24"/>
          <w:szCs w:val="24"/>
        </w:rPr>
      </w:pPr>
      <w:r w:rsidRPr="00D73AD5">
        <w:rPr>
          <w:rFonts w:ascii="Times New Roman" w:hAnsi="Times New Roman"/>
          <w:sz w:val="24"/>
          <w:szCs w:val="24"/>
        </w:rPr>
        <w:t xml:space="preserve">Таким образом, Открытое акционерное общество «Якутская топливно-энергетическая компания» подлежит привлечению к ответственности по части 1 статьи 14.31 Кодекса РФ об административных правонарушениях, поскольку санкция за совершение административного правонарушения смягчена. </w:t>
      </w:r>
    </w:p>
    <w:p w:rsidR="00D07588" w:rsidRDefault="00D07588" w:rsidP="00D73AD5">
      <w:pPr>
        <w:spacing w:after="0" w:line="240" w:lineRule="auto"/>
        <w:ind w:firstLine="567"/>
        <w:contextualSpacing/>
        <w:jc w:val="both"/>
        <w:rPr>
          <w:rFonts w:ascii="Times New Roman" w:hAnsi="Times New Roman"/>
          <w:sz w:val="24"/>
          <w:szCs w:val="24"/>
        </w:rPr>
      </w:pPr>
      <w:r w:rsidRPr="00D73AD5">
        <w:rPr>
          <w:rFonts w:ascii="Times New Roman" w:hAnsi="Times New Roman"/>
          <w:sz w:val="24"/>
          <w:szCs w:val="24"/>
        </w:rPr>
        <w:t xml:space="preserve">Обстоятельств смягчающих либо отягчающих административную ответственность  ОАО «ЯТЭК» не установлено. </w:t>
      </w:r>
    </w:p>
    <w:p w:rsidR="007542A1" w:rsidRPr="00A7661F" w:rsidRDefault="007542A1" w:rsidP="007542A1">
      <w:pPr>
        <w:autoSpaceDE w:val="0"/>
        <w:autoSpaceDN w:val="0"/>
        <w:adjustRightInd w:val="0"/>
        <w:spacing w:after="0" w:line="240" w:lineRule="auto"/>
        <w:ind w:firstLine="540"/>
        <w:contextualSpacing/>
        <w:jc w:val="both"/>
        <w:rPr>
          <w:rFonts w:ascii="Times New Roman" w:eastAsiaTheme="minorHAnsi" w:hAnsi="Times New Roman"/>
          <w:sz w:val="24"/>
          <w:szCs w:val="24"/>
        </w:rPr>
      </w:pPr>
      <w:r w:rsidRPr="00A7661F">
        <w:rPr>
          <w:rFonts w:ascii="Times New Roman" w:hAnsi="Times New Roman"/>
          <w:sz w:val="24"/>
          <w:szCs w:val="24"/>
        </w:rPr>
        <w:t xml:space="preserve">Принимая во внимание отсутствие отягчающих и смягчающих обстоятельств, размер штрафа за совершение административного правонарушения будет исчисляться в соответствии частью 4 ст. 14.31 Кодекса РФ об административных правонарушениях. </w:t>
      </w:r>
    </w:p>
    <w:p w:rsidR="007542A1" w:rsidRPr="00A7661F" w:rsidRDefault="007542A1" w:rsidP="007542A1">
      <w:pPr>
        <w:autoSpaceDE w:val="0"/>
        <w:autoSpaceDN w:val="0"/>
        <w:adjustRightInd w:val="0"/>
        <w:spacing w:after="0" w:line="240" w:lineRule="auto"/>
        <w:ind w:firstLine="540"/>
        <w:contextualSpacing/>
        <w:jc w:val="both"/>
        <w:outlineLvl w:val="2"/>
        <w:rPr>
          <w:rFonts w:ascii="Times New Roman" w:eastAsia="Times New Roman" w:hAnsi="Times New Roman"/>
          <w:sz w:val="24"/>
          <w:szCs w:val="24"/>
          <w:lang w:eastAsia="ru-RU"/>
        </w:rPr>
      </w:pPr>
      <w:r w:rsidRPr="00A7661F">
        <w:rPr>
          <w:rFonts w:ascii="Times New Roman" w:eastAsia="Times New Roman" w:hAnsi="Times New Roman"/>
          <w:sz w:val="24"/>
          <w:szCs w:val="24"/>
          <w:lang w:eastAsia="ru-RU"/>
        </w:rPr>
        <w:t>Руководствуясь статьями 3.5, 4.1, 14.31, 23.48, 29.9, 29.10 Кодекса РФ об административных правонарушениях,</w:t>
      </w:r>
    </w:p>
    <w:p w:rsidR="007542A1" w:rsidRPr="00A7661F" w:rsidRDefault="007542A1" w:rsidP="007542A1">
      <w:pPr>
        <w:autoSpaceDE w:val="0"/>
        <w:autoSpaceDN w:val="0"/>
        <w:adjustRightInd w:val="0"/>
        <w:spacing w:after="0" w:line="240" w:lineRule="auto"/>
        <w:contextualSpacing/>
        <w:jc w:val="center"/>
        <w:outlineLvl w:val="2"/>
        <w:rPr>
          <w:rFonts w:ascii="Times New Roman" w:eastAsia="Times New Roman" w:hAnsi="Times New Roman"/>
          <w:sz w:val="24"/>
          <w:szCs w:val="24"/>
          <w:lang w:eastAsia="ru-RU"/>
        </w:rPr>
      </w:pPr>
      <w:r w:rsidRPr="00A7661F">
        <w:rPr>
          <w:rFonts w:ascii="Times New Roman" w:eastAsia="Times New Roman" w:hAnsi="Times New Roman"/>
          <w:sz w:val="24"/>
          <w:szCs w:val="24"/>
          <w:lang w:eastAsia="ru-RU"/>
        </w:rPr>
        <w:t>п о с т а н о в и л:</w:t>
      </w:r>
    </w:p>
    <w:p w:rsidR="007542A1" w:rsidRPr="00A7661F" w:rsidRDefault="007542A1" w:rsidP="007542A1">
      <w:pPr>
        <w:autoSpaceDE w:val="0"/>
        <w:autoSpaceDN w:val="0"/>
        <w:adjustRightInd w:val="0"/>
        <w:spacing w:after="0" w:line="240" w:lineRule="auto"/>
        <w:ind w:firstLine="540"/>
        <w:contextualSpacing/>
        <w:jc w:val="both"/>
        <w:rPr>
          <w:rFonts w:ascii="Times New Roman" w:eastAsia="Times New Roman" w:hAnsi="Times New Roman"/>
          <w:sz w:val="24"/>
          <w:szCs w:val="24"/>
          <w:lang w:eastAsia="ru-RU"/>
        </w:rPr>
      </w:pPr>
      <w:r w:rsidRPr="00A7661F">
        <w:rPr>
          <w:rFonts w:ascii="Times New Roman" w:eastAsia="Times New Roman" w:hAnsi="Times New Roman"/>
          <w:sz w:val="24"/>
          <w:szCs w:val="24"/>
          <w:lang w:eastAsia="ru-RU"/>
        </w:rPr>
        <w:tab/>
        <w:t xml:space="preserve">Признать ОАО «Якутская топливно-энергетическая компания» виновным в совершении административного правонарушения, предусмотренного частью 1 статьи 14.31 Кодекса РФ об административных правонарушениях и назначить административное наказание в виде штрафа </w:t>
      </w:r>
      <w:r w:rsidRPr="00A7661F">
        <w:rPr>
          <w:rFonts w:ascii="Times New Roman" w:eastAsiaTheme="minorHAnsi" w:hAnsi="Times New Roman"/>
          <w:sz w:val="24"/>
          <w:szCs w:val="24"/>
        </w:rPr>
        <w:t xml:space="preserve">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что составляет 650 000 (шестьсот пятьдесят тысяч) рублей. </w:t>
      </w:r>
    </w:p>
    <w:p w:rsidR="00DD1FD1" w:rsidRDefault="00DD1FD1" w:rsidP="007542A1">
      <w:pPr>
        <w:spacing w:after="0" w:line="240" w:lineRule="auto"/>
        <w:ind w:firstLine="708"/>
        <w:contextualSpacing/>
        <w:jc w:val="both"/>
        <w:rPr>
          <w:rFonts w:ascii="Times New Roman" w:hAnsi="Times New Roman"/>
          <w:sz w:val="24"/>
          <w:szCs w:val="24"/>
        </w:rPr>
      </w:pPr>
    </w:p>
    <w:p w:rsidR="007542A1" w:rsidRPr="00A7661F" w:rsidRDefault="007542A1" w:rsidP="007542A1">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Согласно ч.1. ст.32.2 Кодекса РФ об административных правонарушениях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Кодекса РФ об административных правонарушениях.</w:t>
      </w:r>
    </w:p>
    <w:p w:rsidR="00DD1FD1" w:rsidRDefault="00DD1FD1" w:rsidP="007542A1">
      <w:pPr>
        <w:spacing w:after="0" w:line="240" w:lineRule="auto"/>
        <w:ind w:firstLine="708"/>
        <w:contextualSpacing/>
        <w:jc w:val="both"/>
        <w:rPr>
          <w:rFonts w:ascii="Times New Roman" w:hAnsi="Times New Roman"/>
          <w:sz w:val="24"/>
          <w:szCs w:val="24"/>
        </w:rPr>
      </w:pPr>
    </w:p>
    <w:p w:rsidR="007542A1" w:rsidRPr="00A7661F" w:rsidRDefault="007542A1" w:rsidP="007542A1">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Суммы штрафов зачисляются в бюджет по следующим реквизитам:</w:t>
      </w:r>
    </w:p>
    <w:p w:rsidR="007542A1" w:rsidRPr="00A7661F" w:rsidRDefault="007542A1" w:rsidP="007542A1">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Получатель: Управление Федерального казначейства по РС(Я) (Управление Федеральной антимонопольной службы по РС(Я)).</w:t>
      </w:r>
    </w:p>
    <w:p w:rsidR="007542A1" w:rsidRPr="00A7661F" w:rsidRDefault="007542A1" w:rsidP="007542A1">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Назначение платежа: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p w:rsidR="007542A1" w:rsidRPr="00A7661F" w:rsidRDefault="007542A1" w:rsidP="007542A1">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ИНН 1435137122</w:t>
      </w:r>
    </w:p>
    <w:p w:rsidR="007542A1" w:rsidRPr="00A7661F" w:rsidRDefault="007542A1" w:rsidP="007542A1">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КПП 143501001</w:t>
      </w:r>
    </w:p>
    <w:p w:rsidR="007542A1" w:rsidRPr="00A7661F" w:rsidRDefault="007542A1" w:rsidP="007542A1">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 xml:space="preserve">КБК 161 1 16 02010 01 6000140 </w:t>
      </w:r>
    </w:p>
    <w:p w:rsidR="007542A1" w:rsidRPr="00A7661F" w:rsidRDefault="007542A1" w:rsidP="007542A1">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ОКАТО 98401000000</w:t>
      </w:r>
    </w:p>
    <w:p w:rsidR="007542A1" w:rsidRPr="00A7661F" w:rsidRDefault="007542A1" w:rsidP="007542A1">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р/с 40101810100000010002</w:t>
      </w:r>
    </w:p>
    <w:p w:rsidR="007542A1" w:rsidRPr="00A7661F" w:rsidRDefault="007542A1" w:rsidP="007542A1">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lastRenderedPageBreak/>
        <w:t>БИК 049805001</w:t>
      </w:r>
    </w:p>
    <w:p w:rsidR="007542A1" w:rsidRPr="00A7661F" w:rsidRDefault="007542A1" w:rsidP="007542A1">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Банк получателя: ГРКЦ НБ Республики Саха (Якутия) Банка России г. Якутск</w:t>
      </w:r>
    </w:p>
    <w:p w:rsidR="007542A1" w:rsidRPr="00A7661F" w:rsidRDefault="007542A1" w:rsidP="007542A1">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 xml:space="preserve">В трехдневный срок со дня уплаты штрафа ОАО «ЯТЭК» надлежит представить в Управление Федеральной антимонопольной службы по Республике Саха (Якутия) надлежащим образом заверенные копии платежных документов. </w:t>
      </w:r>
    </w:p>
    <w:p w:rsidR="007542A1" w:rsidRPr="00A7661F" w:rsidRDefault="007542A1" w:rsidP="007542A1">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 xml:space="preserve">Постановление по делу об административном правонарушении может быть обжаловано вышестоящему должностному лицу либо в судебном порядке в течение десяти суток со дня вручения или получения копии постановления (ст.30.1, 30.3 Кодекса РФ об административных правонарушениях). </w:t>
      </w:r>
    </w:p>
    <w:p w:rsidR="007542A1" w:rsidRPr="00A7661F" w:rsidRDefault="007542A1" w:rsidP="007542A1">
      <w:pPr>
        <w:spacing w:after="0" w:line="240" w:lineRule="auto"/>
        <w:ind w:firstLine="708"/>
        <w:contextualSpacing/>
        <w:jc w:val="both"/>
        <w:rPr>
          <w:rFonts w:ascii="Times New Roman" w:hAnsi="Times New Roman"/>
          <w:sz w:val="24"/>
          <w:szCs w:val="24"/>
        </w:rPr>
      </w:pPr>
      <w:r w:rsidRPr="00A7661F">
        <w:rPr>
          <w:rFonts w:ascii="Times New Roman" w:hAnsi="Times New Roman"/>
          <w:sz w:val="24"/>
          <w:szCs w:val="24"/>
        </w:rPr>
        <w:t>Постановление вступило в законную силу «___» _______________ 201</w:t>
      </w:r>
      <w:r>
        <w:rPr>
          <w:rFonts w:ascii="Times New Roman" w:hAnsi="Times New Roman"/>
          <w:sz w:val="24"/>
          <w:szCs w:val="24"/>
        </w:rPr>
        <w:t>3</w:t>
      </w:r>
      <w:r w:rsidRPr="00A7661F">
        <w:rPr>
          <w:rFonts w:ascii="Times New Roman" w:hAnsi="Times New Roman"/>
          <w:sz w:val="24"/>
          <w:szCs w:val="24"/>
        </w:rPr>
        <w:t xml:space="preserve"> г. </w:t>
      </w:r>
    </w:p>
    <w:p w:rsidR="007542A1" w:rsidRPr="00A7661F" w:rsidRDefault="007542A1" w:rsidP="007542A1">
      <w:pPr>
        <w:autoSpaceDE w:val="0"/>
        <w:autoSpaceDN w:val="0"/>
        <w:adjustRightInd w:val="0"/>
        <w:spacing w:after="0" w:line="240" w:lineRule="auto"/>
        <w:contextualSpacing/>
        <w:jc w:val="both"/>
        <w:rPr>
          <w:rFonts w:ascii="Times New Roman" w:hAnsi="Times New Roman"/>
          <w:sz w:val="24"/>
          <w:szCs w:val="24"/>
        </w:rPr>
      </w:pPr>
    </w:p>
    <w:p w:rsidR="007542A1" w:rsidRPr="00083D37" w:rsidRDefault="007542A1" w:rsidP="007542A1">
      <w:pPr>
        <w:spacing w:after="0" w:line="240" w:lineRule="auto"/>
        <w:jc w:val="both"/>
        <w:rPr>
          <w:rFonts w:ascii="Times New Roman" w:hAnsi="Times New Roman"/>
          <w:sz w:val="24"/>
          <w:szCs w:val="24"/>
        </w:rPr>
      </w:pPr>
    </w:p>
    <w:p w:rsidR="007542A1" w:rsidRDefault="007542A1" w:rsidP="007542A1">
      <w:pPr>
        <w:spacing w:after="0" w:line="240" w:lineRule="auto"/>
        <w:jc w:val="both"/>
        <w:rPr>
          <w:rFonts w:ascii="Times New Roman" w:hAnsi="Times New Roman"/>
          <w:sz w:val="24"/>
          <w:szCs w:val="24"/>
        </w:rPr>
      </w:pPr>
    </w:p>
    <w:p w:rsidR="00DD1FD1" w:rsidRDefault="00DD1FD1" w:rsidP="007542A1">
      <w:pPr>
        <w:spacing w:after="0" w:line="240" w:lineRule="auto"/>
        <w:jc w:val="both"/>
        <w:rPr>
          <w:rFonts w:ascii="Times New Roman" w:hAnsi="Times New Roman"/>
          <w:sz w:val="24"/>
          <w:szCs w:val="24"/>
        </w:rPr>
      </w:pPr>
    </w:p>
    <w:p w:rsidR="007542A1" w:rsidRDefault="007542A1" w:rsidP="007542A1">
      <w:pPr>
        <w:spacing w:after="0" w:line="240" w:lineRule="auto"/>
        <w:jc w:val="both"/>
        <w:rPr>
          <w:lang w:eastAsia="ru-RU"/>
        </w:rPr>
      </w:pPr>
      <w:r>
        <w:rPr>
          <w:rFonts w:ascii="Times New Roman" w:hAnsi="Times New Roman"/>
          <w:sz w:val="24"/>
          <w:szCs w:val="24"/>
        </w:rPr>
        <w:t>Заместитель руководителя                                                                               О.А.Ярыгина</w:t>
      </w:r>
      <w:r w:rsidRPr="00083D37">
        <w:rPr>
          <w:rFonts w:ascii="Times New Roman" w:hAnsi="Times New Roman"/>
          <w:sz w:val="24"/>
          <w:szCs w:val="24"/>
        </w:rPr>
        <w:t xml:space="preserve"> </w:t>
      </w:r>
    </w:p>
    <w:sectPr w:rsidR="007542A1" w:rsidSect="00DC0210">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3BE" w:rsidRDefault="00A743BE" w:rsidP="00DD1FD1">
      <w:pPr>
        <w:spacing w:after="0" w:line="240" w:lineRule="auto"/>
      </w:pPr>
      <w:r>
        <w:separator/>
      </w:r>
    </w:p>
  </w:endnote>
  <w:endnote w:type="continuationSeparator" w:id="1">
    <w:p w:rsidR="00A743BE" w:rsidRDefault="00A743BE" w:rsidP="00DD1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6627"/>
      <w:docPartObj>
        <w:docPartGallery w:val="Page Numbers (Bottom of Page)"/>
        <w:docPartUnique/>
      </w:docPartObj>
    </w:sdtPr>
    <w:sdtContent>
      <w:p w:rsidR="00DD1FD1" w:rsidRDefault="00DD1FD1">
        <w:pPr>
          <w:pStyle w:val="a8"/>
          <w:jc w:val="right"/>
        </w:pPr>
        <w:fldSimple w:instr=" PAGE   \* MERGEFORMAT ">
          <w:r>
            <w:rPr>
              <w:noProof/>
            </w:rPr>
            <w:t>1</w:t>
          </w:r>
        </w:fldSimple>
      </w:p>
    </w:sdtContent>
  </w:sdt>
  <w:p w:rsidR="00DD1FD1" w:rsidRDefault="00DD1F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3BE" w:rsidRDefault="00A743BE" w:rsidP="00DD1FD1">
      <w:pPr>
        <w:spacing w:after="0" w:line="240" w:lineRule="auto"/>
      </w:pPr>
      <w:r>
        <w:separator/>
      </w:r>
    </w:p>
  </w:footnote>
  <w:footnote w:type="continuationSeparator" w:id="1">
    <w:p w:rsidR="00A743BE" w:rsidRDefault="00A743BE" w:rsidP="00DD1F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4266"/>
    <w:rsid w:val="00223830"/>
    <w:rsid w:val="00743745"/>
    <w:rsid w:val="007542A1"/>
    <w:rsid w:val="008306D8"/>
    <w:rsid w:val="00834266"/>
    <w:rsid w:val="00A743BE"/>
    <w:rsid w:val="00D07588"/>
    <w:rsid w:val="00D73AD5"/>
    <w:rsid w:val="00DC0210"/>
    <w:rsid w:val="00DD1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2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4266"/>
    <w:pPr>
      <w:widowControl w:val="0"/>
      <w:suppressAutoHyphens/>
      <w:spacing w:after="0" w:line="240" w:lineRule="auto"/>
    </w:pPr>
    <w:rPr>
      <w:rFonts w:ascii="Times New Roman" w:eastAsia="Arial Unicode MS" w:hAnsi="Times New Roman" w:cs="Tahoma"/>
      <w:color w:val="000000"/>
      <w:sz w:val="24"/>
      <w:szCs w:val="24"/>
      <w:lang w:val="en-US"/>
    </w:rPr>
  </w:style>
  <w:style w:type="paragraph" w:styleId="a4">
    <w:name w:val="List Paragraph"/>
    <w:basedOn w:val="a"/>
    <w:link w:val="a5"/>
    <w:uiPriority w:val="34"/>
    <w:qFormat/>
    <w:rsid w:val="00D07588"/>
    <w:pPr>
      <w:spacing w:after="0" w:line="240" w:lineRule="auto"/>
      <w:ind w:left="720"/>
      <w:contextualSpacing/>
      <w:jc w:val="both"/>
    </w:pPr>
    <w:rPr>
      <w:rFonts w:ascii="Times New Roman" w:eastAsia="Times New Roman" w:hAnsi="Times New Roman"/>
      <w:sz w:val="24"/>
      <w:szCs w:val="28"/>
    </w:rPr>
  </w:style>
  <w:style w:type="character" w:customStyle="1" w:styleId="FontStyle25">
    <w:name w:val="Font Style25"/>
    <w:basedOn w:val="a0"/>
    <w:uiPriority w:val="99"/>
    <w:rsid w:val="00D07588"/>
    <w:rPr>
      <w:rFonts w:ascii="Times New Roman" w:hAnsi="Times New Roman" w:cs="Times New Roman"/>
      <w:b/>
      <w:bCs/>
      <w:sz w:val="22"/>
      <w:szCs w:val="22"/>
    </w:rPr>
  </w:style>
  <w:style w:type="character" w:customStyle="1" w:styleId="a5">
    <w:name w:val="Абзац списка Знак"/>
    <w:basedOn w:val="a0"/>
    <w:link w:val="a4"/>
    <w:uiPriority w:val="34"/>
    <w:rsid w:val="00D07588"/>
    <w:rPr>
      <w:rFonts w:ascii="Times New Roman" w:eastAsia="Times New Roman" w:hAnsi="Times New Roman" w:cs="Times New Roman"/>
      <w:sz w:val="24"/>
      <w:szCs w:val="28"/>
    </w:rPr>
  </w:style>
  <w:style w:type="paragraph" w:styleId="a6">
    <w:name w:val="header"/>
    <w:basedOn w:val="a"/>
    <w:link w:val="a7"/>
    <w:uiPriority w:val="99"/>
    <w:semiHidden/>
    <w:unhideWhenUsed/>
    <w:rsid w:val="00DD1FD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D1FD1"/>
    <w:rPr>
      <w:rFonts w:ascii="Calibri" w:eastAsia="Calibri" w:hAnsi="Calibri" w:cs="Times New Roman"/>
    </w:rPr>
  </w:style>
  <w:style w:type="paragraph" w:styleId="a8">
    <w:name w:val="footer"/>
    <w:basedOn w:val="a"/>
    <w:link w:val="a9"/>
    <w:uiPriority w:val="99"/>
    <w:unhideWhenUsed/>
    <w:rsid w:val="00DD1F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1FD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1838BBA7D8D76EB69B49CCDC6D588911AD2629B37EF89F4F7C66C0E45D1AF18B70A9F40230k2b1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11838BBA7D8D76EB69B49CCDC6D588911AA262EB17AF89F4F7C66C0E45D1AF18B70A9F401382021k7bFC"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1629BE82618C1228B12FA5ADF1523FC300AC6400D2833A218F08F1A4820B650FB1B3C91D6A1Df2Y6C" TargetMode="External"/><Relationship Id="rId11" Type="http://schemas.openxmlformats.org/officeDocument/2006/relationships/hyperlink" Target="consultantplus://offline/ref=211838BBA7D8D76EB69B49CCDC6D588911AA262EB17AF89F4F7C66C0E45D1AF18B70A9F401382021k7bFC" TargetMode="External"/><Relationship Id="rId5" Type="http://schemas.openxmlformats.org/officeDocument/2006/relationships/endnotes" Target="endnotes.xml"/><Relationship Id="rId10" Type="http://schemas.openxmlformats.org/officeDocument/2006/relationships/hyperlink" Target="consultantplus://offline/ref=968ED6636EA627B341AE45C28CDAE013ED470A92F3555C0AFE4D51EEC1011A55EA8E62CAACDC43H1D" TargetMode="External"/><Relationship Id="rId4" Type="http://schemas.openxmlformats.org/officeDocument/2006/relationships/footnotes" Target="footnotes.xml"/><Relationship Id="rId9" Type="http://schemas.openxmlformats.org/officeDocument/2006/relationships/hyperlink" Target="consultantplus://offline/ref=211838BBA7D8D76EB69B49CCDC6D588911AD2629B37EF89F4F7C66C0E45D1AF18B70A9F40230k2b1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9229</Words>
  <Characters>52608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61714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to14-Duraeva</dc:creator>
  <cp:keywords/>
  <dc:description/>
  <cp:lastModifiedBy>to14-Duraeva</cp:lastModifiedBy>
  <cp:revision>3</cp:revision>
  <cp:lastPrinted>2013-04-30T05:48:00Z</cp:lastPrinted>
  <dcterms:created xsi:type="dcterms:W3CDTF">2013-04-30T05:04:00Z</dcterms:created>
  <dcterms:modified xsi:type="dcterms:W3CDTF">2013-04-30T06:47:00Z</dcterms:modified>
</cp:coreProperties>
</file>