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67D" w:rsidRDefault="00E0567D" w:rsidP="00E0567D">
      <w:pPr>
        <w:spacing w:after="0" w:line="240" w:lineRule="auto"/>
        <w:jc w:val="center"/>
        <w:rPr>
          <w:rFonts w:ascii="Times New Roman" w:hAnsi="Times New Roman"/>
          <w:b/>
          <w:sz w:val="24"/>
          <w:szCs w:val="24"/>
          <w:lang w:eastAsia="ru-RU"/>
        </w:rPr>
      </w:pPr>
    </w:p>
    <w:p w:rsidR="00E0567D" w:rsidRDefault="00E0567D" w:rsidP="00E0567D">
      <w:pPr>
        <w:spacing w:after="0" w:line="240" w:lineRule="auto"/>
        <w:jc w:val="center"/>
        <w:rPr>
          <w:rFonts w:ascii="Times New Roman" w:hAnsi="Times New Roman"/>
          <w:b/>
          <w:sz w:val="24"/>
          <w:szCs w:val="24"/>
          <w:lang w:eastAsia="ru-RU"/>
        </w:rPr>
      </w:pPr>
    </w:p>
    <w:p w:rsidR="00E0567D" w:rsidRDefault="00E0567D" w:rsidP="00E0567D">
      <w:pPr>
        <w:spacing w:after="0" w:line="240" w:lineRule="auto"/>
        <w:jc w:val="center"/>
        <w:rPr>
          <w:rFonts w:ascii="Times New Roman" w:hAnsi="Times New Roman"/>
          <w:b/>
          <w:sz w:val="24"/>
          <w:szCs w:val="24"/>
          <w:lang w:eastAsia="ru-RU"/>
        </w:rPr>
      </w:pPr>
    </w:p>
    <w:p w:rsidR="00E0567D" w:rsidRDefault="00E0567D" w:rsidP="00E0567D">
      <w:pPr>
        <w:spacing w:after="0" w:line="240" w:lineRule="auto"/>
        <w:jc w:val="center"/>
        <w:rPr>
          <w:rFonts w:ascii="Times New Roman" w:hAnsi="Times New Roman"/>
          <w:b/>
          <w:sz w:val="24"/>
          <w:szCs w:val="24"/>
          <w:lang w:eastAsia="ru-RU"/>
        </w:rPr>
      </w:pPr>
    </w:p>
    <w:p w:rsidR="00E0567D" w:rsidRDefault="00E0567D" w:rsidP="00E0567D">
      <w:pPr>
        <w:spacing w:after="0" w:line="240" w:lineRule="auto"/>
        <w:jc w:val="center"/>
        <w:rPr>
          <w:rFonts w:ascii="Times New Roman" w:hAnsi="Times New Roman"/>
          <w:b/>
          <w:sz w:val="24"/>
          <w:szCs w:val="24"/>
          <w:lang w:eastAsia="ru-RU"/>
        </w:rPr>
      </w:pPr>
    </w:p>
    <w:p w:rsidR="00E0567D" w:rsidRDefault="00E0567D" w:rsidP="00E0567D">
      <w:pPr>
        <w:spacing w:after="0" w:line="240" w:lineRule="auto"/>
        <w:jc w:val="center"/>
        <w:rPr>
          <w:rFonts w:ascii="Times New Roman" w:hAnsi="Times New Roman"/>
          <w:b/>
          <w:sz w:val="24"/>
          <w:szCs w:val="24"/>
          <w:lang w:eastAsia="ru-RU"/>
        </w:rPr>
      </w:pPr>
    </w:p>
    <w:p w:rsidR="00E0567D" w:rsidRDefault="00E0567D" w:rsidP="00E0567D">
      <w:pPr>
        <w:spacing w:after="0" w:line="240" w:lineRule="auto"/>
        <w:jc w:val="center"/>
        <w:rPr>
          <w:rFonts w:ascii="Times New Roman" w:hAnsi="Times New Roman"/>
          <w:b/>
          <w:sz w:val="24"/>
          <w:szCs w:val="24"/>
          <w:lang w:eastAsia="ru-RU"/>
        </w:rPr>
      </w:pPr>
    </w:p>
    <w:p w:rsidR="00E0567D" w:rsidRDefault="00E0567D" w:rsidP="00E0567D">
      <w:pPr>
        <w:spacing w:after="0" w:line="240" w:lineRule="auto"/>
        <w:jc w:val="center"/>
        <w:rPr>
          <w:rFonts w:ascii="Times New Roman" w:hAnsi="Times New Roman"/>
          <w:b/>
          <w:sz w:val="24"/>
          <w:szCs w:val="24"/>
          <w:lang w:eastAsia="ru-RU"/>
        </w:rPr>
      </w:pPr>
    </w:p>
    <w:p w:rsidR="00E0567D" w:rsidRDefault="00E0567D" w:rsidP="00E0567D">
      <w:pPr>
        <w:spacing w:after="0" w:line="240" w:lineRule="auto"/>
        <w:jc w:val="center"/>
        <w:rPr>
          <w:rFonts w:ascii="Times New Roman" w:hAnsi="Times New Roman"/>
          <w:b/>
          <w:sz w:val="24"/>
          <w:szCs w:val="24"/>
          <w:lang w:eastAsia="ru-RU"/>
        </w:rPr>
      </w:pPr>
    </w:p>
    <w:p w:rsidR="00E0567D" w:rsidRDefault="00E0567D" w:rsidP="00E0567D">
      <w:pPr>
        <w:spacing w:after="0" w:line="240" w:lineRule="auto"/>
        <w:jc w:val="center"/>
        <w:rPr>
          <w:rFonts w:ascii="Times New Roman" w:hAnsi="Times New Roman"/>
          <w:b/>
          <w:sz w:val="24"/>
          <w:szCs w:val="24"/>
          <w:lang w:eastAsia="ru-RU"/>
        </w:rPr>
      </w:pPr>
    </w:p>
    <w:p w:rsidR="00E0567D" w:rsidRDefault="00E0567D" w:rsidP="00E0567D">
      <w:pPr>
        <w:spacing w:after="0" w:line="240" w:lineRule="auto"/>
        <w:jc w:val="center"/>
        <w:rPr>
          <w:rFonts w:ascii="Times New Roman" w:hAnsi="Times New Roman"/>
          <w:b/>
          <w:sz w:val="24"/>
          <w:szCs w:val="24"/>
          <w:lang w:eastAsia="ru-RU"/>
        </w:rPr>
      </w:pPr>
    </w:p>
    <w:p w:rsidR="00E0567D" w:rsidRDefault="00E0567D" w:rsidP="00E0567D">
      <w:pPr>
        <w:spacing w:after="0" w:line="240" w:lineRule="auto"/>
        <w:jc w:val="center"/>
        <w:rPr>
          <w:rFonts w:ascii="Times New Roman" w:hAnsi="Times New Roman"/>
          <w:b/>
          <w:sz w:val="24"/>
          <w:szCs w:val="24"/>
          <w:lang w:eastAsia="ru-RU"/>
        </w:rPr>
      </w:pPr>
    </w:p>
    <w:p w:rsidR="00E0567D" w:rsidRDefault="00E0567D" w:rsidP="00E0567D">
      <w:pPr>
        <w:spacing w:after="0" w:line="240" w:lineRule="auto"/>
        <w:jc w:val="center"/>
        <w:rPr>
          <w:rFonts w:ascii="Times New Roman" w:hAnsi="Times New Roman"/>
          <w:b/>
          <w:sz w:val="24"/>
          <w:szCs w:val="24"/>
          <w:lang w:eastAsia="ru-RU"/>
        </w:rPr>
      </w:pPr>
    </w:p>
    <w:p w:rsidR="00E0567D" w:rsidRDefault="00E0567D" w:rsidP="00E0567D">
      <w:pPr>
        <w:spacing w:after="0" w:line="240" w:lineRule="auto"/>
        <w:jc w:val="center"/>
        <w:rPr>
          <w:rFonts w:ascii="Times New Roman" w:hAnsi="Times New Roman"/>
          <w:b/>
          <w:sz w:val="24"/>
          <w:szCs w:val="24"/>
          <w:lang w:eastAsia="ru-RU"/>
        </w:rPr>
      </w:pPr>
    </w:p>
    <w:p w:rsidR="00E0567D" w:rsidRDefault="00E0567D" w:rsidP="00E0567D">
      <w:pPr>
        <w:spacing w:after="0" w:line="240" w:lineRule="auto"/>
        <w:jc w:val="center"/>
        <w:rPr>
          <w:rFonts w:ascii="Times New Roman" w:hAnsi="Times New Roman"/>
          <w:b/>
          <w:sz w:val="24"/>
          <w:szCs w:val="24"/>
          <w:lang w:eastAsia="ru-RU"/>
        </w:rPr>
      </w:pPr>
      <w:r w:rsidRPr="00532EBB">
        <w:rPr>
          <w:rFonts w:ascii="Times New Roman" w:hAnsi="Times New Roman"/>
          <w:b/>
          <w:sz w:val="24"/>
          <w:szCs w:val="24"/>
          <w:lang w:eastAsia="ru-RU"/>
        </w:rPr>
        <w:t>П</w:t>
      </w:r>
      <w:r>
        <w:rPr>
          <w:rFonts w:ascii="Times New Roman" w:hAnsi="Times New Roman"/>
          <w:b/>
          <w:sz w:val="24"/>
          <w:szCs w:val="24"/>
          <w:lang w:eastAsia="ru-RU"/>
        </w:rPr>
        <w:t xml:space="preserve"> </w:t>
      </w:r>
      <w:r w:rsidRPr="00532EBB">
        <w:rPr>
          <w:rFonts w:ascii="Times New Roman" w:hAnsi="Times New Roman"/>
          <w:b/>
          <w:sz w:val="24"/>
          <w:szCs w:val="24"/>
          <w:lang w:eastAsia="ru-RU"/>
        </w:rPr>
        <w:t>О</w:t>
      </w:r>
      <w:r>
        <w:rPr>
          <w:rFonts w:ascii="Times New Roman" w:hAnsi="Times New Roman"/>
          <w:b/>
          <w:sz w:val="24"/>
          <w:szCs w:val="24"/>
          <w:lang w:eastAsia="ru-RU"/>
        </w:rPr>
        <w:t xml:space="preserve"> </w:t>
      </w:r>
      <w:r w:rsidRPr="00532EBB">
        <w:rPr>
          <w:rFonts w:ascii="Times New Roman" w:hAnsi="Times New Roman"/>
          <w:b/>
          <w:sz w:val="24"/>
          <w:szCs w:val="24"/>
          <w:lang w:eastAsia="ru-RU"/>
        </w:rPr>
        <w:t>С</w:t>
      </w:r>
      <w:r>
        <w:rPr>
          <w:rFonts w:ascii="Times New Roman" w:hAnsi="Times New Roman"/>
          <w:b/>
          <w:sz w:val="24"/>
          <w:szCs w:val="24"/>
          <w:lang w:eastAsia="ru-RU"/>
        </w:rPr>
        <w:t xml:space="preserve"> </w:t>
      </w:r>
      <w:r w:rsidRPr="00532EBB">
        <w:rPr>
          <w:rFonts w:ascii="Times New Roman" w:hAnsi="Times New Roman"/>
          <w:b/>
          <w:sz w:val="24"/>
          <w:szCs w:val="24"/>
          <w:lang w:eastAsia="ru-RU"/>
        </w:rPr>
        <w:t>Т</w:t>
      </w:r>
      <w:r>
        <w:rPr>
          <w:rFonts w:ascii="Times New Roman" w:hAnsi="Times New Roman"/>
          <w:b/>
          <w:sz w:val="24"/>
          <w:szCs w:val="24"/>
          <w:lang w:eastAsia="ru-RU"/>
        </w:rPr>
        <w:t xml:space="preserve"> </w:t>
      </w:r>
      <w:r w:rsidRPr="00532EBB">
        <w:rPr>
          <w:rFonts w:ascii="Times New Roman" w:hAnsi="Times New Roman"/>
          <w:b/>
          <w:sz w:val="24"/>
          <w:szCs w:val="24"/>
          <w:lang w:eastAsia="ru-RU"/>
        </w:rPr>
        <w:t>А</w:t>
      </w:r>
      <w:r>
        <w:rPr>
          <w:rFonts w:ascii="Times New Roman" w:hAnsi="Times New Roman"/>
          <w:b/>
          <w:sz w:val="24"/>
          <w:szCs w:val="24"/>
          <w:lang w:eastAsia="ru-RU"/>
        </w:rPr>
        <w:t xml:space="preserve"> </w:t>
      </w:r>
      <w:r w:rsidRPr="00532EBB">
        <w:rPr>
          <w:rFonts w:ascii="Times New Roman" w:hAnsi="Times New Roman"/>
          <w:b/>
          <w:sz w:val="24"/>
          <w:szCs w:val="24"/>
          <w:lang w:eastAsia="ru-RU"/>
        </w:rPr>
        <w:t>Н</w:t>
      </w:r>
      <w:r>
        <w:rPr>
          <w:rFonts w:ascii="Times New Roman" w:hAnsi="Times New Roman"/>
          <w:b/>
          <w:sz w:val="24"/>
          <w:szCs w:val="24"/>
          <w:lang w:eastAsia="ru-RU"/>
        </w:rPr>
        <w:t xml:space="preserve"> </w:t>
      </w:r>
      <w:r w:rsidRPr="00532EBB">
        <w:rPr>
          <w:rFonts w:ascii="Times New Roman" w:hAnsi="Times New Roman"/>
          <w:b/>
          <w:sz w:val="24"/>
          <w:szCs w:val="24"/>
          <w:lang w:eastAsia="ru-RU"/>
        </w:rPr>
        <w:t>О</w:t>
      </w:r>
      <w:r>
        <w:rPr>
          <w:rFonts w:ascii="Times New Roman" w:hAnsi="Times New Roman"/>
          <w:b/>
          <w:sz w:val="24"/>
          <w:szCs w:val="24"/>
          <w:lang w:eastAsia="ru-RU"/>
        </w:rPr>
        <w:t xml:space="preserve"> </w:t>
      </w:r>
      <w:r w:rsidRPr="00532EBB">
        <w:rPr>
          <w:rFonts w:ascii="Times New Roman" w:hAnsi="Times New Roman"/>
          <w:b/>
          <w:sz w:val="24"/>
          <w:szCs w:val="24"/>
          <w:lang w:eastAsia="ru-RU"/>
        </w:rPr>
        <w:t>В</w:t>
      </w:r>
      <w:r>
        <w:rPr>
          <w:rFonts w:ascii="Times New Roman" w:hAnsi="Times New Roman"/>
          <w:b/>
          <w:sz w:val="24"/>
          <w:szCs w:val="24"/>
          <w:lang w:eastAsia="ru-RU"/>
        </w:rPr>
        <w:t xml:space="preserve"> </w:t>
      </w:r>
      <w:r w:rsidRPr="00532EBB">
        <w:rPr>
          <w:rFonts w:ascii="Times New Roman" w:hAnsi="Times New Roman"/>
          <w:b/>
          <w:sz w:val="24"/>
          <w:szCs w:val="24"/>
          <w:lang w:eastAsia="ru-RU"/>
        </w:rPr>
        <w:t>Л</w:t>
      </w:r>
      <w:r>
        <w:rPr>
          <w:rFonts w:ascii="Times New Roman" w:hAnsi="Times New Roman"/>
          <w:b/>
          <w:sz w:val="24"/>
          <w:szCs w:val="24"/>
          <w:lang w:eastAsia="ru-RU"/>
        </w:rPr>
        <w:t xml:space="preserve"> </w:t>
      </w:r>
      <w:r w:rsidRPr="00532EBB">
        <w:rPr>
          <w:rFonts w:ascii="Times New Roman" w:hAnsi="Times New Roman"/>
          <w:b/>
          <w:sz w:val="24"/>
          <w:szCs w:val="24"/>
          <w:lang w:eastAsia="ru-RU"/>
        </w:rPr>
        <w:t>Е</w:t>
      </w:r>
      <w:r>
        <w:rPr>
          <w:rFonts w:ascii="Times New Roman" w:hAnsi="Times New Roman"/>
          <w:b/>
          <w:sz w:val="24"/>
          <w:szCs w:val="24"/>
          <w:lang w:eastAsia="ru-RU"/>
        </w:rPr>
        <w:t xml:space="preserve"> </w:t>
      </w:r>
      <w:r w:rsidRPr="00532EBB">
        <w:rPr>
          <w:rFonts w:ascii="Times New Roman" w:hAnsi="Times New Roman"/>
          <w:b/>
          <w:sz w:val="24"/>
          <w:szCs w:val="24"/>
          <w:lang w:eastAsia="ru-RU"/>
        </w:rPr>
        <w:t>Н</w:t>
      </w:r>
      <w:r>
        <w:rPr>
          <w:rFonts w:ascii="Times New Roman" w:hAnsi="Times New Roman"/>
          <w:b/>
          <w:sz w:val="24"/>
          <w:szCs w:val="24"/>
          <w:lang w:eastAsia="ru-RU"/>
        </w:rPr>
        <w:t xml:space="preserve"> </w:t>
      </w:r>
      <w:r w:rsidRPr="00532EBB">
        <w:rPr>
          <w:rFonts w:ascii="Times New Roman" w:hAnsi="Times New Roman"/>
          <w:b/>
          <w:sz w:val="24"/>
          <w:szCs w:val="24"/>
          <w:lang w:eastAsia="ru-RU"/>
        </w:rPr>
        <w:t>И</w:t>
      </w:r>
      <w:r>
        <w:rPr>
          <w:rFonts w:ascii="Times New Roman" w:hAnsi="Times New Roman"/>
          <w:b/>
          <w:sz w:val="24"/>
          <w:szCs w:val="24"/>
          <w:lang w:eastAsia="ru-RU"/>
        </w:rPr>
        <w:t xml:space="preserve"> </w:t>
      </w:r>
      <w:r w:rsidRPr="00532EBB">
        <w:rPr>
          <w:rFonts w:ascii="Times New Roman" w:hAnsi="Times New Roman"/>
          <w:b/>
          <w:sz w:val="24"/>
          <w:szCs w:val="24"/>
          <w:lang w:eastAsia="ru-RU"/>
        </w:rPr>
        <w:t>Е</w:t>
      </w:r>
    </w:p>
    <w:p w:rsidR="00E0567D" w:rsidRDefault="00E0567D" w:rsidP="00E0567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О наложении административного штрафа по делу № 02-32/13-14.31 </w:t>
      </w:r>
    </w:p>
    <w:p w:rsidR="00E0567D" w:rsidRDefault="00E0567D" w:rsidP="00E0567D">
      <w:pPr>
        <w:spacing w:after="0" w:line="240" w:lineRule="auto"/>
        <w:jc w:val="center"/>
        <w:rPr>
          <w:rFonts w:ascii="Times New Roman" w:hAnsi="Times New Roman"/>
          <w:b/>
          <w:sz w:val="24"/>
          <w:szCs w:val="24"/>
          <w:lang w:eastAsia="ru-RU"/>
        </w:rPr>
      </w:pPr>
      <w:r>
        <w:rPr>
          <w:rFonts w:ascii="Times New Roman" w:hAnsi="Times New Roman"/>
          <w:sz w:val="24"/>
          <w:szCs w:val="24"/>
          <w:lang w:eastAsia="ru-RU"/>
        </w:rPr>
        <w:t xml:space="preserve">об административном правонарушении </w:t>
      </w:r>
      <w:r w:rsidRPr="00532EBB">
        <w:rPr>
          <w:rFonts w:ascii="Times New Roman" w:hAnsi="Times New Roman"/>
          <w:b/>
          <w:sz w:val="24"/>
          <w:szCs w:val="24"/>
          <w:lang w:eastAsia="ru-RU"/>
        </w:rPr>
        <w:t xml:space="preserve"> </w:t>
      </w:r>
    </w:p>
    <w:p w:rsidR="00E0567D" w:rsidRDefault="00E0567D" w:rsidP="00E0567D">
      <w:pPr>
        <w:spacing w:after="0" w:line="240" w:lineRule="auto"/>
        <w:jc w:val="center"/>
        <w:rPr>
          <w:rFonts w:ascii="Times New Roman" w:hAnsi="Times New Roman"/>
          <w:b/>
          <w:sz w:val="24"/>
          <w:szCs w:val="24"/>
          <w:lang w:eastAsia="ru-RU"/>
        </w:rPr>
      </w:pPr>
    </w:p>
    <w:p w:rsidR="00E0567D" w:rsidRDefault="00E0567D" w:rsidP="00E0567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г. Якутск                                                                                                         03 июня 2013г. </w:t>
      </w:r>
    </w:p>
    <w:p w:rsidR="00E0567D" w:rsidRDefault="00E0567D" w:rsidP="00E0567D">
      <w:pPr>
        <w:spacing w:line="240" w:lineRule="auto"/>
        <w:ind w:firstLine="567"/>
        <w:contextualSpacing/>
        <w:jc w:val="both"/>
        <w:rPr>
          <w:rFonts w:ascii="Times New Roman" w:hAnsi="Times New Roman"/>
          <w:sz w:val="24"/>
          <w:szCs w:val="24"/>
          <w:lang w:eastAsia="ru-RU"/>
        </w:rPr>
      </w:pPr>
      <w:r w:rsidRPr="00A7661F">
        <w:rPr>
          <w:rFonts w:ascii="Times New Roman" w:hAnsi="Times New Roman"/>
          <w:sz w:val="24"/>
          <w:szCs w:val="24"/>
          <w:lang w:eastAsia="ru-RU"/>
        </w:rPr>
        <w:tab/>
      </w:r>
    </w:p>
    <w:p w:rsidR="00E0567D" w:rsidRPr="00A7661F" w:rsidRDefault="00E0567D" w:rsidP="00E0567D">
      <w:pPr>
        <w:spacing w:line="240" w:lineRule="auto"/>
        <w:ind w:firstLine="567"/>
        <w:contextualSpacing/>
        <w:jc w:val="both"/>
        <w:rPr>
          <w:rFonts w:ascii="Times New Roman" w:hAnsi="Times New Roman"/>
          <w:sz w:val="24"/>
          <w:szCs w:val="24"/>
          <w:lang w:eastAsia="ru-RU"/>
        </w:rPr>
      </w:pPr>
      <w:r w:rsidRPr="00A7661F">
        <w:rPr>
          <w:rFonts w:ascii="Times New Roman" w:hAnsi="Times New Roman"/>
          <w:sz w:val="24"/>
          <w:szCs w:val="24"/>
          <w:lang w:eastAsia="ru-RU"/>
        </w:rPr>
        <w:t>Заместитель руководителя Управления Федеральной антимонопольной службы по Республике Саха (Якутия) О.А.Ярыгина, рассмотрев протокол №02-</w:t>
      </w:r>
      <w:r>
        <w:rPr>
          <w:rFonts w:ascii="Times New Roman" w:hAnsi="Times New Roman"/>
          <w:sz w:val="24"/>
          <w:szCs w:val="24"/>
          <w:lang w:eastAsia="ru-RU"/>
        </w:rPr>
        <w:t>32</w:t>
      </w:r>
      <w:r w:rsidRPr="00A7661F">
        <w:rPr>
          <w:rFonts w:ascii="Times New Roman" w:hAnsi="Times New Roman"/>
          <w:sz w:val="24"/>
          <w:szCs w:val="24"/>
          <w:lang w:eastAsia="ru-RU"/>
        </w:rPr>
        <w:t xml:space="preserve">/13-14.31 об административном правонарушении, предусмотренном ч.1 ст.14.31 Кодекса РФ об административных правонарушениях составленный в отношении </w:t>
      </w:r>
      <w:r w:rsidRPr="00A7661F">
        <w:rPr>
          <w:rFonts w:ascii="Times New Roman" w:hAnsi="Times New Roman"/>
          <w:sz w:val="24"/>
          <w:szCs w:val="24"/>
        </w:rPr>
        <w:t>Открытого акционерного общества «</w:t>
      </w:r>
      <w:r>
        <w:rPr>
          <w:rFonts w:ascii="Times New Roman" w:hAnsi="Times New Roman"/>
          <w:sz w:val="24"/>
          <w:szCs w:val="24"/>
        </w:rPr>
        <w:t>Саханефтегазсбыт»,</w:t>
      </w:r>
      <w:r w:rsidRPr="00A7661F">
        <w:rPr>
          <w:rFonts w:ascii="Times New Roman" w:hAnsi="Times New Roman"/>
          <w:sz w:val="24"/>
          <w:szCs w:val="24"/>
        </w:rPr>
        <w:t xml:space="preserve"> </w:t>
      </w:r>
      <w:r>
        <w:rPr>
          <w:rFonts w:ascii="Times New Roman" w:hAnsi="Times New Roman"/>
          <w:sz w:val="24"/>
          <w:szCs w:val="24"/>
        </w:rPr>
        <w:t>адрес местонахождения</w:t>
      </w:r>
      <w:r w:rsidRPr="00A7661F">
        <w:rPr>
          <w:rFonts w:ascii="Times New Roman" w:hAnsi="Times New Roman"/>
          <w:sz w:val="24"/>
          <w:szCs w:val="24"/>
        </w:rPr>
        <w:t>: 67</w:t>
      </w:r>
      <w:r>
        <w:rPr>
          <w:rFonts w:ascii="Times New Roman" w:hAnsi="Times New Roman"/>
          <w:sz w:val="24"/>
          <w:szCs w:val="24"/>
        </w:rPr>
        <w:t>7000</w:t>
      </w:r>
      <w:r w:rsidRPr="00A7661F">
        <w:rPr>
          <w:rFonts w:ascii="Times New Roman" w:hAnsi="Times New Roman"/>
          <w:sz w:val="24"/>
          <w:szCs w:val="24"/>
        </w:rPr>
        <w:t>, Республика Саха (Якутия</w:t>
      </w:r>
      <w:r>
        <w:rPr>
          <w:rFonts w:ascii="Times New Roman" w:hAnsi="Times New Roman"/>
          <w:sz w:val="24"/>
          <w:szCs w:val="24"/>
        </w:rPr>
        <w:t xml:space="preserve">), г. Якутск, ул. Чиряева д. 3, ОГРН 1021401050857, </w:t>
      </w:r>
      <w:r w:rsidRPr="00A7661F">
        <w:rPr>
          <w:rFonts w:ascii="Times New Roman" w:hAnsi="Times New Roman"/>
          <w:sz w:val="24"/>
          <w:szCs w:val="24"/>
        </w:rPr>
        <w:t xml:space="preserve">ИНН </w:t>
      </w:r>
      <w:r>
        <w:rPr>
          <w:rFonts w:ascii="Times New Roman" w:hAnsi="Times New Roman"/>
          <w:sz w:val="24"/>
          <w:szCs w:val="24"/>
        </w:rPr>
        <w:t>1435115270</w:t>
      </w:r>
      <w:r w:rsidRPr="00A7661F">
        <w:rPr>
          <w:rFonts w:ascii="Times New Roman" w:hAnsi="Times New Roman"/>
          <w:sz w:val="24"/>
          <w:szCs w:val="24"/>
        </w:rPr>
        <w:t xml:space="preserve">, </w:t>
      </w:r>
      <w:r w:rsidRPr="00A7661F">
        <w:rPr>
          <w:rFonts w:ascii="Times New Roman" w:hAnsi="Times New Roman"/>
          <w:sz w:val="24"/>
          <w:szCs w:val="24"/>
          <w:lang w:eastAsia="ru-RU"/>
        </w:rPr>
        <w:t>а также иные материалы дела,</w:t>
      </w:r>
    </w:p>
    <w:p w:rsidR="00E0567D" w:rsidRDefault="00E0567D" w:rsidP="00E0567D">
      <w:pPr>
        <w:spacing w:line="240" w:lineRule="auto"/>
        <w:contextualSpacing/>
        <w:jc w:val="center"/>
        <w:rPr>
          <w:rFonts w:ascii="Times New Roman" w:hAnsi="Times New Roman"/>
          <w:sz w:val="24"/>
          <w:szCs w:val="24"/>
        </w:rPr>
      </w:pPr>
      <w:r>
        <w:rPr>
          <w:rFonts w:ascii="Times New Roman" w:hAnsi="Times New Roman"/>
          <w:sz w:val="24"/>
          <w:szCs w:val="24"/>
        </w:rPr>
        <w:t xml:space="preserve">у </w:t>
      </w:r>
      <w:r w:rsidRPr="007542A1">
        <w:rPr>
          <w:rFonts w:ascii="Times New Roman" w:hAnsi="Times New Roman"/>
          <w:sz w:val="24"/>
          <w:szCs w:val="24"/>
        </w:rPr>
        <w:t>с</w:t>
      </w:r>
      <w:r>
        <w:rPr>
          <w:rFonts w:ascii="Times New Roman" w:hAnsi="Times New Roman"/>
          <w:sz w:val="24"/>
          <w:szCs w:val="24"/>
        </w:rPr>
        <w:t xml:space="preserve"> </w:t>
      </w:r>
      <w:r w:rsidRPr="007542A1">
        <w:rPr>
          <w:rFonts w:ascii="Times New Roman" w:hAnsi="Times New Roman"/>
          <w:sz w:val="24"/>
          <w:szCs w:val="24"/>
        </w:rPr>
        <w:t>т</w:t>
      </w:r>
      <w:r>
        <w:rPr>
          <w:rFonts w:ascii="Times New Roman" w:hAnsi="Times New Roman"/>
          <w:sz w:val="24"/>
          <w:szCs w:val="24"/>
        </w:rPr>
        <w:t xml:space="preserve"> </w:t>
      </w:r>
      <w:r w:rsidRPr="007542A1">
        <w:rPr>
          <w:rFonts w:ascii="Times New Roman" w:hAnsi="Times New Roman"/>
          <w:sz w:val="24"/>
          <w:szCs w:val="24"/>
        </w:rPr>
        <w:t>а</w:t>
      </w:r>
      <w:r>
        <w:rPr>
          <w:rFonts w:ascii="Times New Roman" w:hAnsi="Times New Roman"/>
          <w:sz w:val="24"/>
          <w:szCs w:val="24"/>
        </w:rPr>
        <w:t xml:space="preserve"> </w:t>
      </w:r>
      <w:r w:rsidRPr="007542A1">
        <w:rPr>
          <w:rFonts w:ascii="Times New Roman" w:hAnsi="Times New Roman"/>
          <w:sz w:val="24"/>
          <w:szCs w:val="24"/>
        </w:rPr>
        <w:t>н</w:t>
      </w:r>
      <w:r>
        <w:rPr>
          <w:rFonts w:ascii="Times New Roman" w:hAnsi="Times New Roman"/>
          <w:sz w:val="24"/>
          <w:szCs w:val="24"/>
        </w:rPr>
        <w:t xml:space="preserve"> </w:t>
      </w:r>
      <w:r w:rsidRPr="007542A1">
        <w:rPr>
          <w:rFonts w:ascii="Times New Roman" w:hAnsi="Times New Roman"/>
          <w:sz w:val="24"/>
          <w:szCs w:val="24"/>
        </w:rPr>
        <w:t>о</w:t>
      </w:r>
      <w:r>
        <w:rPr>
          <w:rFonts w:ascii="Times New Roman" w:hAnsi="Times New Roman"/>
          <w:sz w:val="24"/>
          <w:szCs w:val="24"/>
        </w:rPr>
        <w:t xml:space="preserve"> </w:t>
      </w:r>
      <w:r w:rsidRPr="007542A1">
        <w:rPr>
          <w:rFonts w:ascii="Times New Roman" w:hAnsi="Times New Roman"/>
          <w:sz w:val="24"/>
          <w:szCs w:val="24"/>
        </w:rPr>
        <w:t>в</w:t>
      </w:r>
      <w:r>
        <w:rPr>
          <w:rFonts w:ascii="Times New Roman" w:hAnsi="Times New Roman"/>
          <w:sz w:val="24"/>
          <w:szCs w:val="24"/>
        </w:rPr>
        <w:t xml:space="preserve"> </w:t>
      </w:r>
      <w:r w:rsidRPr="007542A1">
        <w:rPr>
          <w:rFonts w:ascii="Times New Roman" w:hAnsi="Times New Roman"/>
          <w:sz w:val="24"/>
          <w:szCs w:val="24"/>
        </w:rPr>
        <w:t>и</w:t>
      </w:r>
      <w:r>
        <w:rPr>
          <w:rFonts w:ascii="Times New Roman" w:hAnsi="Times New Roman"/>
          <w:sz w:val="24"/>
          <w:szCs w:val="24"/>
        </w:rPr>
        <w:t xml:space="preserve"> </w:t>
      </w:r>
      <w:r w:rsidRPr="007542A1">
        <w:rPr>
          <w:rFonts w:ascii="Times New Roman" w:hAnsi="Times New Roman"/>
          <w:sz w:val="24"/>
          <w:szCs w:val="24"/>
        </w:rPr>
        <w:t>л:</w:t>
      </w:r>
    </w:p>
    <w:p w:rsidR="00E0567D" w:rsidRDefault="00E0567D" w:rsidP="00E0567D">
      <w:pPr>
        <w:adjustRightInd w:val="0"/>
        <w:spacing w:line="240" w:lineRule="auto"/>
        <w:ind w:firstLine="567"/>
        <w:contextualSpacing/>
        <w:jc w:val="both"/>
        <w:rPr>
          <w:rFonts w:ascii="Times New Roman" w:hAnsi="Times New Roman" w:cs="Times New Roman"/>
          <w:sz w:val="24"/>
          <w:szCs w:val="24"/>
        </w:rPr>
      </w:pPr>
      <w:r w:rsidRPr="00331DC2">
        <w:rPr>
          <w:rFonts w:ascii="Times New Roman" w:hAnsi="Times New Roman" w:cs="Times New Roman"/>
          <w:sz w:val="24"/>
          <w:szCs w:val="24"/>
        </w:rPr>
        <w:t xml:space="preserve">В ходе рассмотрения дела №02-31/12А, возбужденного по результатам рассмотрения заявления АК «АЛРОСА» (ОАО), Комиссией Управления Федеральной антимонопольной службы по Республике Саха (Якутия) (далее – Комиссия, УФАС по РС (Я)) в действиях ОАО «Саханефтегазсбыт» выявлены признаки нарушения пункта 1 части 1 статьи 10 Федерального закона «О защите конкуренции» путем установления монопольно высокой цены на услуги хранения нефтепродуктов и приемо-складские операции на 2011 год. </w:t>
      </w:r>
    </w:p>
    <w:p w:rsidR="00E0567D" w:rsidRPr="00331DC2" w:rsidRDefault="00E0567D" w:rsidP="00E0567D">
      <w:pPr>
        <w:adjustRightInd w:val="0"/>
        <w:spacing w:line="240" w:lineRule="auto"/>
        <w:ind w:firstLine="567"/>
        <w:contextualSpacing/>
        <w:jc w:val="both"/>
        <w:rPr>
          <w:rFonts w:ascii="Times New Roman" w:hAnsi="Times New Roman" w:cs="Times New Roman"/>
          <w:sz w:val="24"/>
          <w:szCs w:val="24"/>
        </w:rPr>
      </w:pPr>
      <w:r w:rsidRPr="00331DC2">
        <w:rPr>
          <w:rFonts w:ascii="Times New Roman" w:hAnsi="Times New Roman" w:cs="Times New Roman"/>
          <w:sz w:val="24"/>
          <w:szCs w:val="24"/>
        </w:rPr>
        <w:t xml:space="preserve">В этой связи в соответствии со статьей 47.1 Закона о защите конкуренции определением от 14.05.2012 г. об отложении рассмотрения дела №02-31/12А и выделении дел в отдельное производство дело в отношении ОАО «Саханефтегазсбыт» по признакам нарушения пункта 1 части 1 статьи 10 Закона о защите конкуренции выделено в отдельное производство. </w:t>
      </w:r>
    </w:p>
    <w:p w:rsidR="00E0567D" w:rsidRPr="00331DC2" w:rsidRDefault="00E0567D" w:rsidP="00E0567D">
      <w:pPr>
        <w:adjustRightInd w:val="0"/>
        <w:spacing w:line="240" w:lineRule="auto"/>
        <w:ind w:firstLine="567"/>
        <w:contextualSpacing/>
        <w:jc w:val="both"/>
        <w:rPr>
          <w:rFonts w:ascii="Times New Roman" w:hAnsi="Times New Roman" w:cs="Times New Roman"/>
          <w:sz w:val="24"/>
          <w:szCs w:val="24"/>
        </w:rPr>
      </w:pPr>
      <w:r w:rsidRPr="00331DC2">
        <w:rPr>
          <w:rFonts w:ascii="Times New Roman" w:hAnsi="Times New Roman" w:cs="Times New Roman"/>
          <w:sz w:val="24"/>
          <w:szCs w:val="24"/>
        </w:rPr>
        <w:t>Приказом УФАС по РС(Я) от 17.05.2012 №104 выделенному в отдельное производство делу о нарушении антимонопольного законодательства по признакам злоупотребления ОАО «Саханефтегазсбыт» своим доминирующим положением, а именно нарушения пункта 1 части 1 статьи 10 Федерального закона «О защите конкуренции» присвоен №02-78/12А.</w:t>
      </w:r>
    </w:p>
    <w:p w:rsidR="00E0567D" w:rsidRPr="00331DC2" w:rsidRDefault="00E0567D" w:rsidP="00E0567D">
      <w:pPr>
        <w:spacing w:line="240" w:lineRule="auto"/>
        <w:ind w:firstLine="567"/>
        <w:contextualSpacing/>
        <w:jc w:val="both"/>
        <w:rPr>
          <w:rFonts w:ascii="Times New Roman" w:hAnsi="Times New Roman" w:cs="Times New Roman"/>
          <w:sz w:val="24"/>
          <w:szCs w:val="24"/>
        </w:rPr>
      </w:pPr>
      <w:r w:rsidRPr="00331DC2">
        <w:rPr>
          <w:rFonts w:ascii="Times New Roman" w:hAnsi="Times New Roman" w:cs="Times New Roman"/>
          <w:sz w:val="24"/>
          <w:szCs w:val="24"/>
        </w:rPr>
        <w:t xml:space="preserve">Согласно пункту 1 части 1 статьи 10 Федерального закона «О защите конкуренции» запрещаются действия (бездействие) занимающего доминирующее положение хозяйствующего субъекта путем установления, поддержания монопольно высокой цены товара. </w:t>
      </w:r>
    </w:p>
    <w:p w:rsidR="00E0567D" w:rsidRPr="00331DC2" w:rsidRDefault="00E0567D" w:rsidP="00E0567D">
      <w:pPr>
        <w:adjustRightInd w:val="0"/>
        <w:spacing w:line="240" w:lineRule="auto"/>
        <w:ind w:firstLine="567"/>
        <w:contextualSpacing/>
        <w:jc w:val="both"/>
        <w:rPr>
          <w:rFonts w:ascii="Times New Roman" w:hAnsi="Times New Roman" w:cs="Times New Roman"/>
          <w:sz w:val="24"/>
          <w:szCs w:val="24"/>
        </w:rPr>
      </w:pPr>
      <w:r w:rsidRPr="00331DC2">
        <w:rPr>
          <w:rFonts w:ascii="Times New Roman" w:hAnsi="Times New Roman" w:cs="Times New Roman"/>
          <w:sz w:val="24"/>
          <w:szCs w:val="24"/>
        </w:rPr>
        <w:t xml:space="preserve">Приказом Управления Федеральной антимонопольной службы по Республике Саха (Якутия) №72 от 27.08.2004г. ОАО «Саханефтегазсбыт» включено в реестр хозяйствующих субъектов, занимающих доминирующее положение на товарном рынке по </w:t>
      </w:r>
      <w:r w:rsidRPr="00331DC2">
        <w:rPr>
          <w:rFonts w:ascii="Times New Roman" w:hAnsi="Times New Roman" w:cs="Times New Roman"/>
          <w:sz w:val="24"/>
          <w:szCs w:val="24"/>
        </w:rPr>
        <w:lastRenderedPageBreak/>
        <w:t>позиции «хранение и складирование нефти и продуктов ее переработки» с долей более 65% в географических границах территории Республики Саха (Якутия).</w:t>
      </w:r>
    </w:p>
    <w:p w:rsidR="00E0567D" w:rsidRPr="00331DC2" w:rsidRDefault="00E0567D" w:rsidP="00E0567D">
      <w:pPr>
        <w:adjustRightInd w:val="0"/>
        <w:spacing w:line="240" w:lineRule="auto"/>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Согласно статье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E0567D" w:rsidRPr="00331DC2" w:rsidRDefault="00E0567D" w:rsidP="00E0567D">
      <w:pPr>
        <w:adjustRightInd w:val="0"/>
        <w:spacing w:line="240" w:lineRule="auto"/>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1) путем повышения ранее установленной цены товара, если при этом выполняются в совокупности следующие условия:</w:t>
      </w:r>
    </w:p>
    <w:p w:rsidR="00E0567D" w:rsidRPr="00331DC2" w:rsidRDefault="00E0567D" w:rsidP="00E0567D">
      <w:pPr>
        <w:adjustRightInd w:val="0"/>
        <w:spacing w:line="240" w:lineRule="auto"/>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E0567D" w:rsidRPr="00331DC2" w:rsidRDefault="00E0567D" w:rsidP="00E0567D">
      <w:pPr>
        <w:adjustRightInd w:val="0"/>
        <w:spacing w:line="240" w:lineRule="auto"/>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E0567D" w:rsidRPr="00331DC2" w:rsidRDefault="00E0567D" w:rsidP="00E0567D">
      <w:pPr>
        <w:adjustRightInd w:val="0"/>
        <w:spacing w:line="240" w:lineRule="auto"/>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E0567D" w:rsidRPr="00331DC2" w:rsidRDefault="00E0567D" w:rsidP="00E0567D">
      <w:pPr>
        <w:adjustRightInd w:val="0"/>
        <w:spacing w:line="240" w:lineRule="auto"/>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2) путем поддержания или неснижения ранее установленной цены товара, если при этом выполняются в совокупности следующие условия:</w:t>
      </w:r>
    </w:p>
    <w:p w:rsidR="00E0567D" w:rsidRPr="00331DC2" w:rsidRDefault="00E0567D" w:rsidP="00E0567D">
      <w:pPr>
        <w:adjustRightInd w:val="0"/>
        <w:spacing w:line="240" w:lineRule="auto"/>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а) расходы, необходимые для производства и реализации товара, существенно снизились;</w:t>
      </w:r>
    </w:p>
    <w:p w:rsidR="00E0567D" w:rsidRPr="00331DC2" w:rsidRDefault="00E0567D" w:rsidP="00E0567D">
      <w:pPr>
        <w:adjustRightInd w:val="0"/>
        <w:spacing w:line="240" w:lineRule="auto"/>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б) состав продавцов или покупателей товара обусловливает возможность изменения цены товара в сторону уменьшения;</w:t>
      </w:r>
    </w:p>
    <w:p w:rsidR="00E0567D" w:rsidRDefault="00E0567D" w:rsidP="00E0567D">
      <w:pPr>
        <w:autoSpaceDE w:val="0"/>
        <w:autoSpaceDN w:val="0"/>
        <w:adjustRightInd w:val="0"/>
        <w:spacing w:line="240" w:lineRule="auto"/>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E0567D" w:rsidRDefault="00E0567D" w:rsidP="00E0567D">
      <w:pPr>
        <w:tabs>
          <w:tab w:val="left" w:pos="993"/>
        </w:tabs>
        <w:autoSpaceDE w:val="0"/>
        <w:autoSpaceDN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rPr>
        <w:t xml:space="preserve">10.07.2012г. по результатам рассмотрения дела №02-78/12А Комиссия Якутского УФАС России  признала </w:t>
      </w:r>
      <w:r w:rsidRPr="001B1B6A">
        <w:rPr>
          <w:rFonts w:ascii="Times New Roman" w:hAnsi="Times New Roman" w:cs="Times New Roman"/>
          <w:sz w:val="24"/>
        </w:rPr>
        <w:t>ОАО «Саханефтегазсбыт»</w:t>
      </w:r>
      <w:r w:rsidRPr="0066065C">
        <w:rPr>
          <w:rFonts w:ascii="Times New Roman" w:hAnsi="Times New Roman" w:cs="Times New Roman"/>
          <w:sz w:val="24"/>
        </w:rPr>
        <w:t xml:space="preserve"> </w:t>
      </w:r>
      <w:r>
        <w:rPr>
          <w:rFonts w:ascii="Times New Roman" w:hAnsi="Times New Roman" w:cs="Times New Roman"/>
          <w:sz w:val="24"/>
        </w:rPr>
        <w:t xml:space="preserve">нарушившим пункт 1 части 1 статьи 10 Закона «О защите конкуренции» путем установления </w:t>
      </w:r>
      <w:r w:rsidRPr="00331DC2">
        <w:rPr>
          <w:rFonts w:ascii="Times New Roman" w:hAnsi="Times New Roman" w:cs="Times New Roman"/>
          <w:sz w:val="24"/>
          <w:szCs w:val="24"/>
        </w:rPr>
        <w:t>приказами ОАО «Саханефтегазсбыт» от 29.12.2010 г. № 616, 617, 617а и от 26.01.2011 №26 монопольно высокой цены на услуги хранения нефтепродуктов для прочих поклажедателей и АК «АЛРОСА» в размере 8,29 руб. и на приемо-складские операции для нефтепродуктов (кроме местного топлива) 774,89 руб</w:t>
      </w:r>
      <w:r>
        <w:rPr>
          <w:rFonts w:ascii="Times New Roman" w:hAnsi="Times New Roman" w:cs="Times New Roman"/>
          <w:sz w:val="24"/>
          <w:szCs w:val="24"/>
        </w:rPr>
        <w:t>.</w:t>
      </w:r>
    </w:p>
    <w:p w:rsidR="00E0567D" w:rsidRDefault="00E0567D" w:rsidP="00E0567D">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Со</w:t>
      </w:r>
      <w:r w:rsidRPr="00A7661F">
        <w:rPr>
          <w:rFonts w:ascii="Times New Roman" w:hAnsi="Times New Roman"/>
          <w:sz w:val="24"/>
          <w:szCs w:val="24"/>
          <w:lang w:eastAsia="ru-RU"/>
        </w:rPr>
        <w:t xml:space="preserve">гласно части 1 статьи 37 Федерального закона «О защите конкуренции» за нарушение антимонопольного законодательства коммерческие организации несут ответственность, предусмотренную законодательством. </w:t>
      </w:r>
    </w:p>
    <w:p w:rsidR="00E0567D" w:rsidRPr="00A7661F" w:rsidRDefault="00E0567D" w:rsidP="00E0567D">
      <w:pPr>
        <w:spacing w:after="0" w:line="240" w:lineRule="auto"/>
        <w:contextualSpacing/>
        <w:jc w:val="both"/>
        <w:rPr>
          <w:rFonts w:ascii="Times New Roman" w:hAnsi="Times New Roman"/>
          <w:sz w:val="24"/>
          <w:szCs w:val="24"/>
          <w:lang w:eastAsia="ru-RU"/>
        </w:rPr>
      </w:pPr>
      <w:r w:rsidRPr="00A7661F">
        <w:rPr>
          <w:rFonts w:ascii="Times New Roman" w:hAnsi="Times New Roman"/>
          <w:sz w:val="24"/>
          <w:szCs w:val="24"/>
          <w:lang w:eastAsia="ru-RU"/>
        </w:rPr>
        <w:tab/>
        <w:t xml:space="preserve">Статьей 14.31 Кодекса РФ об административных правонарушениях установлена административная ответственность за злоупотребление доминирующим положением на товарном рынке. </w:t>
      </w:r>
    </w:p>
    <w:p w:rsidR="00E0567D" w:rsidRPr="00A7661F" w:rsidRDefault="00E0567D" w:rsidP="00E0567D">
      <w:pPr>
        <w:spacing w:after="0" w:line="240" w:lineRule="auto"/>
        <w:ind w:firstLine="709"/>
        <w:contextualSpacing/>
        <w:jc w:val="both"/>
        <w:rPr>
          <w:rFonts w:ascii="Times New Roman" w:hAnsi="Times New Roman"/>
          <w:sz w:val="24"/>
          <w:szCs w:val="24"/>
        </w:rPr>
      </w:pPr>
      <w:r w:rsidRPr="00A7661F">
        <w:rPr>
          <w:rFonts w:ascii="Times New Roman" w:hAnsi="Times New Roman"/>
          <w:sz w:val="24"/>
          <w:szCs w:val="24"/>
          <w:lang w:eastAsia="ru-RU"/>
        </w:rPr>
        <w:t>По факту нарушения ОАО «</w:t>
      </w:r>
      <w:r>
        <w:rPr>
          <w:rFonts w:ascii="Times New Roman" w:hAnsi="Times New Roman"/>
          <w:sz w:val="24"/>
          <w:szCs w:val="24"/>
          <w:lang w:eastAsia="ru-RU"/>
        </w:rPr>
        <w:t>Саханефтегазсбыт</w:t>
      </w:r>
      <w:r w:rsidRPr="00A7661F">
        <w:rPr>
          <w:rFonts w:ascii="Times New Roman" w:hAnsi="Times New Roman"/>
          <w:sz w:val="24"/>
          <w:szCs w:val="24"/>
          <w:lang w:eastAsia="ru-RU"/>
        </w:rPr>
        <w:t xml:space="preserve">» пункта </w:t>
      </w:r>
      <w:r>
        <w:rPr>
          <w:rFonts w:ascii="Times New Roman" w:hAnsi="Times New Roman"/>
          <w:sz w:val="24"/>
          <w:szCs w:val="24"/>
          <w:lang w:eastAsia="ru-RU"/>
        </w:rPr>
        <w:t>1</w:t>
      </w:r>
      <w:r w:rsidRPr="00A7661F">
        <w:rPr>
          <w:rFonts w:ascii="Times New Roman" w:hAnsi="Times New Roman"/>
          <w:sz w:val="24"/>
          <w:szCs w:val="24"/>
          <w:lang w:eastAsia="ru-RU"/>
        </w:rPr>
        <w:t xml:space="preserve"> части 1 статьи 10 Федерального закона «О защите конкуренции» </w:t>
      </w:r>
      <w:r>
        <w:rPr>
          <w:rFonts w:ascii="Times New Roman" w:hAnsi="Times New Roman"/>
          <w:sz w:val="24"/>
          <w:szCs w:val="24"/>
          <w:lang w:eastAsia="ru-RU"/>
        </w:rPr>
        <w:t xml:space="preserve">24 мая 2013г. </w:t>
      </w:r>
      <w:r w:rsidRPr="00A7661F">
        <w:rPr>
          <w:rFonts w:ascii="Times New Roman" w:hAnsi="Times New Roman"/>
          <w:sz w:val="24"/>
          <w:szCs w:val="24"/>
        </w:rPr>
        <w:t xml:space="preserve"> главным государственным инспектором отдела антимонопольного контроля Управления Федеральной антимонопольной службы по </w:t>
      </w:r>
      <w:r>
        <w:rPr>
          <w:rFonts w:ascii="Times New Roman" w:hAnsi="Times New Roman"/>
          <w:sz w:val="24"/>
          <w:szCs w:val="24"/>
        </w:rPr>
        <w:t>Р</w:t>
      </w:r>
      <w:r w:rsidRPr="00A7661F">
        <w:rPr>
          <w:rFonts w:ascii="Times New Roman" w:hAnsi="Times New Roman"/>
          <w:sz w:val="24"/>
          <w:szCs w:val="24"/>
        </w:rPr>
        <w:t>еспублике Саха (Якутия) Дураевой Н.С. в отношении ОАО «</w:t>
      </w:r>
      <w:r>
        <w:rPr>
          <w:rFonts w:ascii="Times New Roman" w:hAnsi="Times New Roman"/>
          <w:sz w:val="24"/>
          <w:szCs w:val="24"/>
        </w:rPr>
        <w:t>Саханефтегазсбыт»</w:t>
      </w:r>
      <w:r w:rsidRPr="00A7661F">
        <w:rPr>
          <w:rFonts w:ascii="Times New Roman" w:hAnsi="Times New Roman"/>
          <w:sz w:val="24"/>
          <w:szCs w:val="24"/>
        </w:rPr>
        <w:t xml:space="preserve"> составлен протокол </w:t>
      </w:r>
      <w:r w:rsidR="008D40AC">
        <w:rPr>
          <w:rFonts w:ascii="Times New Roman" w:hAnsi="Times New Roman"/>
          <w:sz w:val="24"/>
          <w:szCs w:val="24"/>
        </w:rPr>
        <w:t xml:space="preserve">№02-32/13-14.31 </w:t>
      </w:r>
      <w:r w:rsidRPr="00A7661F">
        <w:rPr>
          <w:rFonts w:ascii="Times New Roman" w:hAnsi="Times New Roman"/>
          <w:sz w:val="24"/>
          <w:szCs w:val="24"/>
        </w:rPr>
        <w:t>об административном правонарушении предусмотренном частью 1 статьи 14.31 Кодекса РФ об административных правонарушениях.</w:t>
      </w:r>
    </w:p>
    <w:p w:rsidR="00E0567D" w:rsidRPr="00A7661F" w:rsidRDefault="00E0567D" w:rsidP="00E0567D">
      <w:pPr>
        <w:spacing w:after="0" w:line="240" w:lineRule="auto"/>
        <w:ind w:firstLine="709"/>
        <w:contextualSpacing/>
        <w:jc w:val="both"/>
        <w:rPr>
          <w:rFonts w:ascii="Times New Roman" w:hAnsi="Times New Roman"/>
          <w:sz w:val="24"/>
          <w:szCs w:val="24"/>
          <w:lang w:eastAsia="ru-RU"/>
        </w:rPr>
      </w:pPr>
      <w:r w:rsidRPr="00A7661F">
        <w:rPr>
          <w:rFonts w:ascii="Times New Roman" w:hAnsi="Times New Roman"/>
          <w:sz w:val="24"/>
          <w:szCs w:val="24"/>
          <w:lang w:eastAsia="ru-RU"/>
        </w:rPr>
        <w:lastRenderedPageBreak/>
        <w:t xml:space="preserve">При составлении протокола об административном правонарушении </w:t>
      </w:r>
      <w:r>
        <w:rPr>
          <w:rFonts w:ascii="Times New Roman" w:hAnsi="Times New Roman"/>
          <w:sz w:val="24"/>
          <w:szCs w:val="24"/>
          <w:lang w:eastAsia="ru-RU"/>
        </w:rPr>
        <w:t xml:space="preserve">Смирнова С.В., </w:t>
      </w:r>
      <w:r w:rsidRPr="00A7661F">
        <w:rPr>
          <w:rFonts w:ascii="Times New Roman" w:hAnsi="Times New Roman"/>
          <w:sz w:val="24"/>
          <w:szCs w:val="24"/>
          <w:lang w:eastAsia="ru-RU"/>
        </w:rPr>
        <w:t>представитель ОАО «</w:t>
      </w:r>
      <w:r>
        <w:rPr>
          <w:rFonts w:ascii="Times New Roman" w:hAnsi="Times New Roman"/>
          <w:sz w:val="24"/>
          <w:szCs w:val="24"/>
          <w:lang w:eastAsia="ru-RU"/>
        </w:rPr>
        <w:t>Саханефтегазсбыт</w:t>
      </w:r>
      <w:r w:rsidRPr="00A7661F">
        <w:rPr>
          <w:rFonts w:ascii="Times New Roman" w:hAnsi="Times New Roman"/>
          <w:sz w:val="24"/>
          <w:szCs w:val="24"/>
          <w:lang w:eastAsia="ru-RU"/>
        </w:rPr>
        <w:t>» по доверенности</w:t>
      </w:r>
      <w:r>
        <w:rPr>
          <w:rFonts w:ascii="Times New Roman" w:hAnsi="Times New Roman"/>
          <w:sz w:val="24"/>
          <w:szCs w:val="24"/>
          <w:lang w:eastAsia="ru-RU"/>
        </w:rPr>
        <w:t xml:space="preserve"> № 07-08/582 от 22.05.2013г. </w:t>
      </w:r>
      <w:r w:rsidRPr="00A7661F">
        <w:rPr>
          <w:rFonts w:ascii="Times New Roman" w:hAnsi="Times New Roman"/>
          <w:sz w:val="24"/>
          <w:szCs w:val="24"/>
          <w:lang w:eastAsia="ru-RU"/>
        </w:rPr>
        <w:t xml:space="preserve"> возражений не представил</w:t>
      </w:r>
      <w:r>
        <w:rPr>
          <w:rFonts w:ascii="Times New Roman" w:hAnsi="Times New Roman"/>
          <w:sz w:val="24"/>
          <w:szCs w:val="24"/>
          <w:lang w:eastAsia="ru-RU"/>
        </w:rPr>
        <w:t>а</w:t>
      </w:r>
      <w:r w:rsidRPr="00A7661F">
        <w:rPr>
          <w:rFonts w:ascii="Times New Roman" w:hAnsi="Times New Roman"/>
          <w:sz w:val="24"/>
          <w:szCs w:val="24"/>
          <w:lang w:eastAsia="ru-RU"/>
        </w:rPr>
        <w:t xml:space="preserve">. </w:t>
      </w:r>
    </w:p>
    <w:p w:rsidR="00E0567D" w:rsidRPr="00A7661F" w:rsidRDefault="00E0567D" w:rsidP="00E0567D">
      <w:pPr>
        <w:spacing w:after="0" w:line="240" w:lineRule="auto"/>
        <w:contextualSpacing/>
        <w:jc w:val="both"/>
        <w:rPr>
          <w:rFonts w:ascii="Times New Roman" w:hAnsi="Times New Roman"/>
          <w:sz w:val="24"/>
          <w:szCs w:val="24"/>
          <w:lang w:eastAsia="ru-RU"/>
        </w:rPr>
      </w:pPr>
      <w:r w:rsidRPr="00A7661F">
        <w:rPr>
          <w:rFonts w:ascii="Times New Roman" w:hAnsi="Times New Roman"/>
          <w:sz w:val="24"/>
          <w:szCs w:val="24"/>
          <w:lang w:eastAsia="ru-RU"/>
        </w:rPr>
        <w:tab/>
        <w:t xml:space="preserve">При рассмотрении дела об административном правонарушении </w:t>
      </w:r>
      <w:r>
        <w:rPr>
          <w:rFonts w:ascii="Times New Roman" w:hAnsi="Times New Roman"/>
          <w:sz w:val="24"/>
          <w:szCs w:val="24"/>
          <w:lang w:eastAsia="ru-RU"/>
        </w:rPr>
        <w:t>Смирнова С.В.,</w:t>
      </w:r>
      <w:r w:rsidRPr="00A7661F">
        <w:rPr>
          <w:rFonts w:ascii="Times New Roman" w:hAnsi="Times New Roman"/>
          <w:sz w:val="24"/>
          <w:szCs w:val="24"/>
          <w:lang w:eastAsia="ru-RU"/>
        </w:rPr>
        <w:t xml:space="preserve"> представитель ОАО </w:t>
      </w:r>
      <w:r>
        <w:rPr>
          <w:rFonts w:ascii="Times New Roman" w:hAnsi="Times New Roman"/>
          <w:sz w:val="24"/>
          <w:szCs w:val="24"/>
          <w:lang w:eastAsia="ru-RU"/>
        </w:rPr>
        <w:t xml:space="preserve">«Саханефтегазсбыт» </w:t>
      </w:r>
      <w:r w:rsidRPr="00A7661F">
        <w:rPr>
          <w:rFonts w:ascii="Times New Roman" w:hAnsi="Times New Roman"/>
          <w:sz w:val="24"/>
          <w:szCs w:val="24"/>
          <w:lang w:eastAsia="ru-RU"/>
        </w:rPr>
        <w:t>по доверенности заявил</w:t>
      </w:r>
      <w:r>
        <w:rPr>
          <w:rFonts w:ascii="Times New Roman" w:hAnsi="Times New Roman"/>
          <w:sz w:val="24"/>
          <w:szCs w:val="24"/>
          <w:lang w:eastAsia="ru-RU"/>
        </w:rPr>
        <w:t>а</w:t>
      </w:r>
      <w:r w:rsidRPr="00A7661F">
        <w:rPr>
          <w:rFonts w:ascii="Times New Roman" w:hAnsi="Times New Roman"/>
          <w:sz w:val="24"/>
          <w:szCs w:val="24"/>
          <w:lang w:eastAsia="ru-RU"/>
        </w:rPr>
        <w:t>, что общество не признает себя виновным в совершении административного правонарушения  ответственность за которое предусмотрена частью 1 статьи 14.31 Кодекса РФ об административных правонарушениях.</w:t>
      </w:r>
      <w:r>
        <w:rPr>
          <w:rFonts w:ascii="Times New Roman" w:hAnsi="Times New Roman"/>
          <w:sz w:val="24"/>
          <w:szCs w:val="24"/>
          <w:lang w:eastAsia="ru-RU"/>
        </w:rPr>
        <w:t xml:space="preserve"> Также представила сведения из Бухгалтерского баланса на 31 декабря 2012г. с просьбой учесть материальное положение ОАО «Саханефтегазсбыт»  в связи с тем, что в 2012 году Общество имело убыток в размере 125 913 000 рублей.  </w:t>
      </w:r>
      <w:r w:rsidRPr="00A7661F">
        <w:rPr>
          <w:rFonts w:ascii="Times New Roman" w:hAnsi="Times New Roman"/>
          <w:sz w:val="24"/>
          <w:szCs w:val="24"/>
          <w:lang w:eastAsia="ru-RU"/>
        </w:rPr>
        <w:t xml:space="preserve"> </w:t>
      </w:r>
    </w:p>
    <w:p w:rsidR="00E0567D" w:rsidRPr="00A7661F" w:rsidRDefault="00E0567D" w:rsidP="00E0567D">
      <w:pPr>
        <w:spacing w:after="0" w:line="240" w:lineRule="auto"/>
        <w:contextualSpacing/>
        <w:jc w:val="both"/>
        <w:rPr>
          <w:rFonts w:ascii="Times New Roman" w:hAnsi="Times New Roman"/>
          <w:sz w:val="24"/>
          <w:szCs w:val="24"/>
          <w:lang w:eastAsia="ru-RU"/>
        </w:rPr>
      </w:pPr>
      <w:r w:rsidRPr="00A7661F">
        <w:rPr>
          <w:rFonts w:ascii="Times New Roman" w:hAnsi="Times New Roman"/>
          <w:sz w:val="24"/>
          <w:szCs w:val="24"/>
          <w:lang w:eastAsia="ru-RU"/>
        </w:rPr>
        <w:tab/>
        <w:t>Заслушав объяснения представителя лица, в отношении которого возбуждено дело об административном правонарушении, изучив имеющиеся в материалах дела</w:t>
      </w:r>
      <w:r>
        <w:rPr>
          <w:rFonts w:ascii="Times New Roman" w:hAnsi="Times New Roman"/>
          <w:sz w:val="24"/>
          <w:szCs w:val="24"/>
          <w:lang w:eastAsia="ru-RU"/>
        </w:rPr>
        <w:t>,</w:t>
      </w:r>
      <w:r w:rsidRPr="00A7661F">
        <w:rPr>
          <w:rFonts w:ascii="Times New Roman" w:hAnsi="Times New Roman"/>
          <w:sz w:val="24"/>
          <w:szCs w:val="24"/>
          <w:lang w:eastAsia="ru-RU"/>
        </w:rPr>
        <w:t xml:space="preserve"> документы, при</w:t>
      </w:r>
      <w:r>
        <w:rPr>
          <w:rFonts w:ascii="Times New Roman" w:hAnsi="Times New Roman"/>
          <w:sz w:val="24"/>
          <w:szCs w:val="24"/>
          <w:lang w:eastAsia="ru-RU"/>
        </w:rPr>
        <w:t xml:space="preserve">хожу </w:t>
      </w:r>
      <w:r w:rsidRPr="00A7661F">
        <w:rPr>
          <w:rFonts w:ascii="Times New Roman" w:hAnsi="Times New Roman"/>
          <w:sz w:val="24"/>
          <w:szCs w:val="24"/>
          <w:lang w:eastAsia="ru-RU"/>
        </w:rPr>
        <w:t>к следующим выводам.</w:t>
      </w:r>
    </w:p>
    <w:p w:rsidR="00E0567D" w:rsidRDefault="00E0567D" w:rsidP="00E0567D">
      <w:pPr>
        <w:spacing w:line="240" w:lineRule="auto"/>
        <w:ind w:firstLine="567"/>
        <w:contextualSpacing/>
        <w:jc w:val="both"/>
        <w:rPr>
          <w:rFonts w:ascii="Times New Roman" w:hAnsi="Times New Roman" w:cs="Times New Roman"/>
          <w:sz w:val="24"/>
        </w:rPr>
      </w:pPr>
      <w:r>
        <w:rPr>
          <w:rFonts w:ascii="Times New Roman" w:hAnsi="Times New Roman" w:cs="Times New Roman"/>
          <w:sz w:val="24"/>
        </w:rPr>
        <w:t>В ходе рассмотрения дела №02-78/12А от 10.07.2012г. установлены следующие обстоятельства, указывающие на событие административного правонарушения.</w:t>
      </w:r>
    </w:p>
    <w:p w:rsidR="00E0567D" w:rsidRPr="00331DC2" w:rsidRDefault="00E0567D" w:rsidP="00E0567D">
      <w:pPr>
        <w:autoSpaceDE w:val="0"/>
        <w:autoSpaceDN w:val="0"/>
        <w:adjustRightInd w:val="0"/>
        <w:spacing w:line="240" w:lineRule="auto"/>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ОАО «Саханефтегазсбыт» приказами от 29.12.2010 г. утверждены тарифы на услуги по хранению нефтепродуктов с 1 января 2011 года:</w:t>
      </w:r>
    </w:p>
    <w:p w:rsidR="00E0567D" w:rsidRPr="00331DC2" w:rsidRDefault="00E0567D" w:rsidP="00E0567D">
      <w:pPr>
        <w:autoSpaceDE w:val="0"/>
        <w:autoSpaceDN w:val="0"/>
        <w:adjustRightInd w:val="0"/>
        <w:spacing w:line="240" w:lineRule="auto"/>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 xml:space="preserve">- приказом № 617 - для прочих поклажедателей в размере 8,29 руб. за 1 тн. в сутки без НДС; </w:t>
      </w:r>
    </w:p>
    <w:p w:rsidR="00E0567D" w:rsidRPr="00331DC2" w:rsidRDefault="00E0567D" w:rsidP="00E0567D">
      <w:pPr>
        <w:autoSpaceDE w:val="0"/>
        <w:autoSpaceDN w:val="0"/>
        <w:adjustRightInd w:val="0"/>
        <w:spacing w:line="240" w:lineRule="auto"/>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 приказом 617а - для нефтепродуктов для нужд жизнеобеспечения РС (Я) в размере 6,95 руб. за 1 тн. в сутки без НДС; для местного топлива (сырой нефти и газоконденсатного котельного топлива) – 6,95 руб. за 1 тн. в сутки без НДС; для обеспечиваемого в сохранности нефтепродуктов страхового запаса – 1,21 руб. за 1 тн. в сутки без НДС;</w:t>
      </w:r>
    </w:p>
    <w:p w:rsidR="00E0567D" w:rsidRPr="00331DC2" w:rsidRDefault="00E0567D" w:rsidP="00E0567D">
      <w:pPr>
        <w:autoSpaceDE w:val="0"/>
        <w:autoSpaceDN w:val="0"/>
        <w:adjustRightInd w:val="0"/>
        <w:spacing w:line="240" w:lineRule="auto"/>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Затем приказом ОАО «Саханефтегазсбыт» от 26.01.2011 №26 установлены тарифы по хранению:</w:t>
      </w:r>
    </w:p>
    <w:p w:rsidR="00E0567D" w:rsidRPr="00331DC2" w:rsidRDefault="00E0567D" w:rsidP="00E0567D">
      <w:pPr>
        <w:autoSpaceDE w:val="0"/>
        <w:autoSpaceDN w:val="0"/>
        <w:adjustRightInd w:val="0"/>
        <w:spacing w:line="240" w:lineRule="auto"/>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 местного топлива в размере 7,06 руб. за 1 тн. в сутки без НДС;</w:t>
      </w:r>
    </w:p>
    <w:p w:rsidR="00E0567D" w:rsidRPr="00331DC2" w:rsidRDefault="00E0567D" w:rsidP="00E0567D">
      <w:pPr>
        <w:autoSpaceDE w:val="0"/>
        <w:autoSpaceDN w:val="0"/>
        <w:adjustRightInd w:val="0"/>
        <w:spacing w:line="240" w:lineRule="auto"/>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 нефтепродуктов для сельскохозяйственных товаропроизводителей в размере 7,06 руб. за 1 тн. в сутки без НДС.</w:t>
      </w:r>
    </w:p>
    <w:p w:rsidR="00E0567D" w:rsidRPr="00331DC2" w:rsidRDefault="00E0567D" w:rsidP="00E0567D">
      <w:pPr>
        <w:autoSpaceDE w:val="0"/>
        <w:autoSpaceDN w:val="0"/>
        <w:adjustRightInd w:val="0"/>
        <w:spacing w:line="240" w:lineRule="auto"/>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Тарифы на услуги по приемо-складским операциям (прием, перевалка, отпуск ГСМ) ОАО «Саханефтегазсбыт» (кроме Нагорнинской и Томмотской нефтебаз) установлены приказом от 29.12.2010 №616:</w:t>
      </w:r>
    </w:p>
    <w:p w:rsidR="00E0567D" w:rsidRPr="00331DC2" w:rsidRDefault="00E0567D" w:rsidP="00E0567D">
      <w:pPr>
        <w:autoSpaceDE w:val="0"/>
        <w:autoSpaceDN w:val="0"/>
        <w:adjustRightInd w:val="0"/>
        <w:spacing w:line="240" w:lineRule="auto"/>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 для нефтепродуктов -774,9 руб. за 1 тн. без НДС;</w:t>
      </w:r>
    </w:p>
    <w:p w:rsidR="00E0567D" w:rsidRPr="00331DC2" w:rsidRDefault="00E0567D" w:rsidP="00E0567D">
      <w:pPr>
        <w:autoSpaceDE w:val="0"/>
        <w:autoSpaceDN w:val="0"/>
        <w:adjustRightInd w:val="0"/>
        <w:spacing w:line="240" w:lineRule="auto"/>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 для местного топлива (сырой нефти и газоконденсатного котельного топлива) – 646,75 руб. за 1 тн. без НДС.</w:t>
      </w:r>
    </w:p>
    <w:p w:rsidR="00E0567D" w:rsidRPr="00331DC2" w:rsidRDefault="00E0567D" w:rsidP="00E0567D">
      <w:pPr>
        <w:autoSpaceDE w:val="0"/>
        <w:autoSpaceDN w:val="0"/>
        <w:adjustRightInd w:val="0"/>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 xml:space="preserve">Далее, 19.09.2011 г. ОАО «Саханефтегазсбыт» приказом №391 утвержден тариф на услуги по хранению нефтепродуктов на 2011 год в размере 8,29 руб. за 1 тн. в сутки без НДС, приказом №392 утвержден тариф на услуги по обеспечению безопасности страхового запаса в размере 1,21 руб. за 1 тн. в сутки без НДС. </w:t>
      </w:r>
    </w:p>
    <w:p w:rsidR="00E0567D" w:rsidRPr="00331DC2" w:rsidRDefault="00E0567D" w:rsidP="00E0567D">
      <w:pPr>
        <w:autoSpaceDE w:val="0"/>
        <w:autoSpaceDN w:val="0"/>
        <w:adjustRightInd w:val="0"/>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Пунктами 1 указанных приказов от 19.09.2011 г. отменены действия приказов ОАО «Саханефтегазсбыт» №617, 617а от 29.12.2010 г. об утверждении тарифов услуги по хранению нефтепродуктов на 2011 г. в разрезе поклажедателей.</w:t>
      </w:r>
    </w:p>
    <w:p w:rsidR="00E0567D" w:rsidRPr="00331DC2" w:rsidRDefault="00E0567D" w:rsidP="00E0567D">
      <w:pPr>
        <w:autoSpaceDE w:val="0"/>
        <w:autoSpaceDN w:val="0"/>
        <w:adjustRightInd w:val="0"/>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При этом согласно пояснению представителя ОАО «Саханефтегазсбыт» Бормотовой Е.Ю. (доверенность от 28.05.2012 г. №07-08/500) на рассмотрении дела, приказы №391, 392 от 19.09.2012, принятые ОАО «Саханефтегазсбыт», фактически не применялись в связи с тем, что Обществом было получено письмо ГКЦ-РЭК РС (Я) №03-02-3577 от 25.10.2011 г. о том, что повышение цен на услуги нефтебаз будут произведены только с 01.07.2012 г., что подтверждается протоколом заседания Комиссии по рассмотрению дела от 28.05.2012 г.</w:t>
      </w:r>
    </w:p>
    <w:p w:rsidR="00E0567D" w:rsidRPr="00331DC2" w:rsidRDefault="00E0567D" w:rsidP="00E0567D">
      <w:pPr>
        <w:adjustRightInd w:val="0"/>
        <w:ind w:firstLine="567"/>
        <w:contextualSpacing/>
        <w:jc w:val="both"/>
        <w:outlineLvl w:val="1"/>
        <w:rPr>
          <w:rFonts w:ascii="Times New Roman" w:hAnsi="Times New Roman" w:cs="Times New Roman"/>
          <w:sz w:val="24"/>
          <w:szCs w:val="24"/>
          <w:shd w:val="clear" w:color="auto" w:fill="FFFFFF"/>
        </w:rPr>
      </w:pPr>
      <w:r w:rsidRPr="00331DC2">
        <w:rPr>
          <w:rFonts w:ascii="Times New Roman" w:hAnsi="Times New Roman" w:cs="Times New Roman"/>
          <w:sz w:val="24"/>
          <w:szCs w:val="24"/>
          <w:shd w:val="clear" w:color="auto" w:fill="FFFFFF"/>
        </w:rPr>
        <w:lastRenderedPageBreak/>
        <w:t xml:space="preserve">В отношении АК «АЛРОСА» (ОАО) в течение периода январь-июль 2012 г. ОАО «Саханефтегазсбыт» счет-фактуры за оказанные услуги хранения нефтепродуктов выставлялись по цене 5,35 руб./тн./сут. за хранение нефтепродуктов на Ленской и Нюрбинской нефтебазах- филиалах ОАО «Саханефтегазсбыт». </w:t>
      </w:r>
    </w:p>
    <w:p w:rsidR="00E0567D" w:rsidRPr="00331DC2" w:rsidRDefault="00E0567D" w:rsidP="00E0567D">
      <w:pPr>
        <w:adjustRightInd w:val="0"/>
        <w:ind w:firstLine="567"/>
        <w:contextualSpacing/>
        <w:jc w:val="both"/>
        <w:outlineLvl w:val="1"/>
        <w:rPr>
          <w:rFonts w:ascii="Times New Roman" w:hAnsi="Times New Roman" w:cs="Times New Roman"/>
          <w:sz w:val="24"/>
          <w:szCs w:val="24"/>
          <w:shd w:val="clear" w:color="auto" w:fill="FFFFFF"/>
        </w:rPr>
      </w:pPr>
      <w:r w:rsidRPr="00331DC2">
        <w:rPr>
          <w:rFonts w:ascii="Times New Roman" w:hAnsi="Times New Roman" w:cs="Times New Roman"/>
          <w:sz w:val="24"/>
          <w:szCs w:val="24"/>
          <w:shd w:val="clear" w:color="auto" w:fill="FFFFFF"/>
        </w:rPr>
        <w:t>Письмом ОАО «Саханефтегазсбыт» от 06.05.2011 №03/2-62-854 для АК «АЛРОСА» (ОАО) стоимость услуг по хранению нефтепродуктов в Ленской и Нюрбинской нефтебазах предложена в размере 8,07 руб. за 1 тн./сут.</w:t>
      </w:r>
    </w:p>
    <w:p w:rsidR="00E0567D" w:rsidRPr="00331DC2" w:rsidRDefault="00E0567D" w:rsidP="00E0567D">
      <w:pPr>
        <w:adjustRightInd w:val="0"/>
        <w:ind w:firstLine="567"/>
        <w:contextualSpacing/>
        <w:jc w:val="both"/>
        <w:outlineLvl w:val="1"/>
        <w:rPr>
          <w:rFonts w:ascii="Times New Roman" w:hAnsi="Times New Roman" w:cs="Times New Roman"/>
          <w:sz w:val="24"/>
          <w:szCs w:val="24"/>
          <w:shd w:val="clear" w:color="auto" w:fill="FFFFFF"/>
        </w:rPr>
      </w:pPr>
      <w:r w:rsidRPr="00331DC2">
        <w:rPr>
          <w:rFonts w:ascii="Times New Roman" w:hAnsi="Times New Roman" w:cs="Times New Roman"/>
          <w:sz w:val="24"/>
          <w:szCs w:val="24"/>
          <w:shd w:val="clear" w:color="auto" w:fill="FFFFFF"/>
        </w:rPr>
        <w:t>Затем в сентябре 2011 г. в результате несогласования стоимости услуг хранения нефтепродуктов со стороны АК «АЛРОСА», ОАО «Саханефтегазсбыт» ранее выставленные счет-фактуры отозвало и выставило новые - по цене 8,29 руб/тн.</w:t>
      </w:r>
    </w:p>
    <w:p w:rsidR="00E0567D" w:rsidRPr="00331DC2" w:rsidRDefault="00E0567D" w:rsidP="00E0567D">
      <w:pPr>
        <w:adjustRightInd w:val="0"/>
        <w:ind w:firstLine="567"/>
        <w:contextualSpacing/>
        <w:jc w:val="both"/>
        <w:outlineLvl w:val="1"/>
        <w:rPr>
          <w:rFonts w:ascii="Times New Roman" w:hAnsi="Times New Roman" w:cs="Times New Roman"/>
          <w:sz w:val="24"/>
          <w:szCs w:val="24"/>
          <w:shd w:val="clear" w:color="auto" w:fill="FFFFFF"/>
        </w:rPr>
      </w:pPr>
      <w:r w:rsidRPr="00331DC2">
        <w:rPr>
          <w:rFonts w:ascii="Times New Roman" w:hAnsi="Times New Roman" w:cs="Times New Roman"/>
          <w:sz w:val="24"/>
          <w:szCs w:val="24"/>
        </w:rPr>
        <w:t>В письменном пояснении ОАО «Саханефтегазсбыт» (входящий рег. №3207 23.01.2012г.) указало, что на 2011 год при утверждении снабженческо-сбытовой и торговой надбавок Обществом в расчете товарной продукции на 2011 год для безубыточной работы Общества и с соблюдением требований антимонопольного и налогового законодательств по хранению нефтепродуктов учтен тариф 8,29 руб. за тонну в сутки. Для более плавного сближения тарифов, во избежание резкого скачка тарифов АК «АЛРОСА» был предложен льготный тариф в размере 8,07 рублей за тонну.</w:t>
      </w:r>
    </w:p>
    <w:p w:rsidR="00E0567D" w:rsidRPr="00331DC2" w:rsidRDefault="00E0567D" w:rsidP="00E0567D">
      <w:pPr>
        <w:adjustRightInd w:val="0"/>
        <w:ind w:firstLine="567"/>
        <w:contextualSpacing/>
        <w:jc w:val="both"/>
        <w:outlineLvl w:val="1"/>
        <w:rPr>
          <w:rFonts w:ascii="Times New Roman" w:hAnsi="Times New Roman" w:cs="Times New Roman"/>
          <w:sz w:val="24"/>
          <w:szCs w:val="24"/>
          <w:shd w:val="clear" w:color="auto" w:fill="FFFFFF"/>
        </w:rPr>
      </w:pPr>
      <w:r w:rsidRPr="00331DC2">
        <w:rPr>
          <w:rFonts w:ascii="Times New Roman" w:hAnsi="Times New Roman" w:cs="Times New Roman"/>
          <w:sz w:val="24"/>
          <w:szCs w:val="24"/>
          <w:shd w:val="clear" w:color="auto" w:fill="FFFFFF"/>
        </w:rPr>
        <w:t>Также в материалы дела ОАО «Саханефтегазсбыт» представлены государственные контракты на оказание услуг по хранению нефтепродуктов для государственных нужд за счет государственного бюджета РС (Я) от 05.12.2011 г. (11 штук), заключенные с Государственным комитетом РС (Я) по торговле и материально-техническим ресурсам (далее - Госкомитет РС (Я) по ТиМТР). Согласно приложениям  к данным контрактам тариф за хранение 1 тонны в сутки составил 6,95 руб. (без НДС).</w:t>
      </w:r>
    </w:p>
    <w:p w:rsidR="00E0567D" w:rsidRPr="00331DC2" w:rsidRDefault="00E0567D" w:rsidP="00E0567D">
      <w:pPr>
        <w:autoSpaceDE w:val="0"/>
        <w:autoSpaceDN w:val="0"/>
        <w:adjustRightInd w:val="0"/>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Исходя из вышеизложенного, ОАО «Саханефтегазсбыт» в 2011 г., в январе 2012г. на оказываемые услуги фактически установило следующие цены:</w:t>
      </w:r>
    </w:p>
    <w:p w:rsidR="00E0567D" w:rsidRPr="00331DC2" w:rsidRDefault="00E0567D" w:rsidP="00E0567D">
      <w:pPr>
        <w:autoSpaceDE w:val="0"/>
        <w:autoSpaceDN w:val="0"/>
        <w:adjustRightInd w:val="0"/>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1) на услуги хранения нефтепродуктов в размере:</w:t>
      </w:r>
    </w:p>
    <w:p w:rsidR="00E0567D" w:rsidRPr="00331DC2" w:rsidRDefault="00E0567D" w:rsidP="00E0567D">
      <w:pPr>
        <w:autoSpaceDE w:val="0"/>
        <w:autoSpaceDN w:val="0"/>
        <w:adjustRightInd w:val="0"/>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 для нефтепродуктов страхового запаса – 1,21 руб/тн без НДС;</w:t>
      </w:r>
    </w:p>
    <w:p w:rsidR="00E0567D" w:rsidRPr="00331DC2" w:rsidRDefault="00E0567D" w:rsidP="00E0567D">
      <w:pPr>
        <w:autoSpaceDE w:val="0"/>
        <w:autoSpaceDN w:val="0"/>
        <w:adjustRightInd w:val="0"/>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 для нефтепродуктов для госнужд – 6,95 руб/тн без НДС;</w:t>
      </w:r>
    </w:p>
    <w:p w:rsidR="00E0567D" w:rsidRPr="00331DC2" w:rsidRDefault="00E0567D" w:rsidP="00E0567D">
      <w:pPr>
        <w:autoSpaceDE w:val="0"/>
        <w:autoSpaceDN w:val="0"/>
        <w:adjustRightInd w:val="0"/>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 для местного топлива и сельхозтоваропроизводителей – 7,06 руб/тн без НДС;</w:t>
      </w:r>
    </w:p>
    <w:p w:rsidR="00E0567D" w:rsidRPr="00331DC2" w:rsidRDefault="00E0567D" w:rsidP="00E0567D">
      <w:pPr>
        <w:autoSpaceDE w:val="0"/>
        <w:autoSpaceDN w:val="0"/>
        <w:adjustRightInd w:val="0"/>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 для прочих поклажедателей и АК «АЛРОСА» (ОАО) – 8,29 руб/тн без НДС;</w:t>
      </w:r>
    </w:p>
    <w:p w:rsidR="00E0567D" w:rsidRPr="00331DC2" w:rsidRDefault="00E0567D" w:rsidP="00E0567D">
      <w:pPr>
        <w:autoSpaceDE w:val="0"/>
        <w:autoSpaceDN w:val="0"/>
        <w:adjustRightInd w:val="0"/>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2) на услуги по приемо-складским операциям:</w:t>
      </w:r>
    </w:p>
    <w:p w:rsidR="00E0567D" w:rsidRPr="00331DC2" w:rsidRDefault="00E0567D" w:rsidP="00E0567D">
      <w:pPr>
        <w:autoSpaceDE w:val="0"/>
        <w:autoSpaceDN w:val="0"/>
        <w:adjustRightInd w:val="0"/>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 для местного топлива - 646,75 руб./тн. без НДС;</w:t>
      </w:r>
    </w:p>
    <w:p w:rsidR="00E0567D" w:rsidRPr="00331DC2" w:rsidRDefault="00E0567D" w:rsidP="00E0567D">
      <w:pPr>
        <w:autoSpaceDE w:val="0"/>
        <w:autoSpaceDN w:val="0"/>
        <w:adjustRightInd w:val="0"/>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 для нефтепродуктов (кроме местного топлива) – 774,9 руб./тн. без НДС.</w:t>
      </w:r>
    </w:p>
    <w:p w:rsidR="00E0567D" w:rsidRPr="00331DC2" w:rsidRDefault="00E0567D" w:rsidP="00E0567D">
      <w:pPr>
        <w:autoSpaceDE w:val="0"/>
        <w:autoSpaceDN w:val="0"/>
        <w:adjustRightInd w:val="0"/>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В материалах дела имеются следующие расчеты установленных на 2011 г. тарифов на услуги хранения и услуги по приемо-складским операциям ОАО «Саханефтегазсбыт» (копия письма от 22.03.2012 №07-04/247) (таблицы 1,2,3).</w:t>
      </w:r>
    </w:p>
    <w:p w:rsidR="00E0567D" w:rsidRPr="00331DC2" w:rsidRDefault="00E0567D" w:rsidP="00E0567D">
      <w:pPr>
        <w:ind w:left="709"/>
        <w:contextualSpacing/>
        <w:jc w:val="both"/>
        <w:rPr>
          <w:rFonts w:ascii="Times New Roman" w:hAnsi="Times New Roman" w:cs="Times New Roman"/>
          <w:sz w:val="24"/>
          <w:szCs w:val="24"/>
        </w:rPr>
      </w:pPr>
      <w:r w:rsidRPr="00331DC2">
        <w:rPr>
          <w:rFonts w:ascii="Times New Roman" w:hAnsi="Times New Roman" w:cs="Times New Roman"/>
          <w:sz w:val="24"/>
          <w:szCs w:val="24"/>
        </w:rPr>
        <w:t>Таблица 1.</w:t>
      </w:r>
    </w:p>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Расчёт стоимости услуг по хранению нефтепродуктов на филиалах-нефтебазах ОАО "Саханефтегазсбыт" в 2011 году.</w:t>
      </w:r>
    </w:p>
    <w:tbl>
      <w:tblPr>
        <w:tblW w:w="9787" w:type="dxa"/>
        <w:tblInd w:w="-34" w:type="dxa"/>
        <w:tblLayout w:type="fixed"/>
        <w:tblLook w:val="04A0"/>
      </w:tblPr>
      <w:tblGrid>
        <w:gridCol w:w="568"/>
        <w:gridCol w:w="3538"/>
        <w:gridCol w:w="856"/>
        <w:gridCol w:w="993"/>
        <w:gridCol w:w="992"/>
        <w:gridCol w:w="992"/>
        <w:gridCol w:w="992"/>
        <w:gridCol w:w="856"/>
      </w:tblGrid>
      <w:tr w:rsidR="00E0567D" w:rsidRPr="00331DC2" w:rsidTr="00E0567D">
        <w:trPr>
          <w:trHeight w:val="255"/>
        </w:trPr>
        <w:tc>
          <w:tcPr>
            <w:tcW w:w="568" w:type="dxa"/>
            <w:vMerge w:val="restart"/>
            <w:tcBorders>
              <w:top w:val="single" w:sz="4" w:space="0" w:color="auto"/>
              <w:left w:val="single" w:sz="4" w:space="0" w:color="auto"/>
              <w:bottom w:val="single" w:sz="4" w:space="0" w:color="000000"/>
              <w:right w:val="single" w:sz="4" w:space="0" w:color="auto"/>
            </w:tcBorders>
            <w:hideMark/>
          </w:tcPr>
          <w:p w:rsidR="00E0567D" w:rsidRPr="00331DC2" w:rsidRDefault="00E0567D" w:rsidP="00E0567D">
            <w:pPr>
              <w:spacing w:line="240" w:lineRule="atLeast"/>
              <w:ind w:left="-108"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№п/ п</w:t>
            </w:r>
          </w:p>
        </w:tc>
        <w:tc>
          <w:tcPr>
            <w:tcW w:w="3538" w:type="dxa"/>
            <w:vMerge w:val="restart"/>
            <w:tcBorders>
              <w:top w:val="single" w:sz="4" w:space="0" w:color="auto"/>
              <w:left w:val="single" w:sz="4" w:space="0" w:color="auto"/>
              <w:bottom w:val="single" w:sz="4" w:space="0" w:color="000000"/>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Показатели</w:t>
            </w:r>
          </w:p>
        </w:tc>
        <w:tc>
          <w:tcPr>
            <w:tcW w:w="856" w:type="dxa"/>
            <w:vMerge w:val="restart"/>
            <w:tcBorders>
              <w:top w:val="single" w:sz="4" w:space="0" w:color="auto"/>
              <w:left w:val="single" w:sz="4" w:space="0" w:color="auto"/>
              <w:bottom w:val="single" w:sz="4" w:space="0" w:color="000000"/>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Ед.изм.</w:t>
            </w:r>
          </w:p>
        </w:tc>
        <w:tc>
          <w:tcPr>
            <w:tcW w:w="993" w:type="dxa"/>
            <w:vMerge w:val="restart"/>
            <w:tcBorders>
              <w:top w:val="single" w:sz="4" w:space="0" w:color="auto"/>
              <w:left w:val="single" w:sz="4" w:space="0" w:color="auto"/>
              <w:bottom w:val="single" w:sz="4" w:space="0" w:color="000000"/>
              <w:right w:val="single" w:sz="4" w:space="0" w:color="auto"/>
            </w:tcBorders>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Услуги по хранению всего</w:t>
            </w:r>
          </w:p>
        </w:tc>
        <w:tc>
          <w:tcPr>
            <w:tcW w:w="3832" w:type="dxa"/>
            <w:gridSpan w:val="4"/>
            <w:tcBorders>
              <w:top w:val="single" w:sz="4" w:space="0" w:color="auto"/>
              <w:left w:val="nil"/>
              <w:bottom w:val="single" w:sz="4" w:space="0" w:color="auto"/>
              <w:right w:val="single" w:sz="4" w:space="0" w:color="000000"/>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в том числе</w:t>
            </w:r>
          </w:p>
        </w:tc>
      </w:tr>
      <w:tr w:rsidR="00E0567D" w:rsidRPr="00331DC2" w:rsidTr="00E0567D">
        <w:trPr>
          <w:trHeight w:val="1699"/>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E0567D" w:rsidRPr="00331DC2" w:rsidRDefault="00E0567D" w:rsidP="00E0567D">
            <w:pPr>
              <w:spacing w:line="240" w:lineRule="atLeast"/>
              <w:ind w:left="-108" w:right="-108"/>
              <w:contextualSpacing/>
              <w:jc w:val="both"/>
              <w:rPr>
                <w:rFonts w:ascii="Times New Roman" w:hAnsi="Times New Roman" w:cs="Times New Roman"/>
                <w:sz w:val="24"/>
                <w:szCs w:val="24"/>
              </w:rPr>
            </w:pPr>
          </w:p>
        </w:tc>
        <w:tc>
          <w:tcPr>
            <w:tcW w:w="3538" w:type="dxa"/>
            <w:vMerge/>
            <w:tcBorders>
              <w:top w:val="single" w:sz="4" w:space="0" w:color="auto"/>
              <w:left w:val="single" w:sz="4" w:space="0" w:color="auto"/>
              <w:bottom w:val="single" w:sz="4" w:space="0" w:color="000000"/>
              <w:right w:val="single" w:sz="4" w:space="0" w:color="auto"/>
            </w:tcBorders>
            <w:vAlign w:val="center"/>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p>
        </w:tc>
        <w:tc>
          <w:tcPr>
            <w:tcW w:w="856" w:type="dxa"/>
            <w:vMerge/>
            <w:tcBorders>
              <w:top w:val="single" w:sz="4" w:space="0" w:color="auto"/>
              <w:left w:val="single" w:sz="4" w:space="0" w:color="auto"/>
              <w:bottom w:val="single" w:sz="4" w:space="0" w:color="000000"/>
              <w:right w:val="single" w:sz="4" w:space="0" w:color="auto"/>
            </w:tcBorders>
            <w:vAlign w:val="center"/>
            <w:hideMark/>
          </w:tcPr>
          <w:p w:rsidR="00E0567D" w:rsidRPr="00331DC2" w:rsidRDefault="00E0567D" w:rsidP="00E0567D">
            <w:pPr>
              <w:spacing w:line="240" w:lineRule="atLeast"/>
              <w:ind w:left="-108" w:right="-108"/>
              <w:contextualSpacing/>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местное топливо и сельхозто-варопро</w:t>
            </w:r>
            <w:r w:rsidRPr="00331DC2">
              <w:rPr>
                <w:rFonts w:ascii="Times New Roman" w:hAnsi="Times New Roman" w:cs="Times New Roman"/>
                <w:sz w:val="24"/>
                <w:szCs w:val="24"/>
              </w:rPr>
              <w:lastRenderedPageBreak/>
              <w:t>из-водители</w:t>
            </w:r>
          </w:p>
        </w:tc>
        <w:tc>
          <w:tcPr>
            <w:tcW w:w="992" w:type="dxa"/>
            <w:tcBorders>
              <w:top w:val="nil"/>
              <w:left w:val="nil"/>
              <w:bottom w:val="single" w:sz="4" w:space="0" w:color="auto"/>
              <w:right w:val="single" w:sz="4" w:space="0" w:color="auto"/>
            </w:tcBorders>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lastRenderedPageBreak/>
              <w:t>прочие поклаже-датели</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АК "АЛРОСА"</w:t>
            </w:r>
          </w:p>
        </w:tc>
        <w:tc>
          <w:tcPr>
            <w:tcW w:w="856" w:type="dxa"/>
            <w:tcBorders>
              <w:top w:val="nil"/>
              <w:left w:val="nil"/>
              <w:bottom w:val="single" w:sz="4" w:space="0" w:color="auto"/>
              <w:right w:val="single" w:sz="4" w:space="0" w:color="auto"/>
            </w:tcBorders>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 xml:space="preserve">по обеспе-чению безопа-сности </w:t>
            </w:r>
            <w:r w:rsidRPr="00331DC2">
              <w:rPr>
                <w:rFonts w:ascii="Times New Roman" w:hAnsi="Times New Roman" w:cs="Times New Roman"/>
                <w:sz w:val="24"/>
                <w:szCs w:val="24"/>
              </w:rPr>
              <w:lastRenderedPageBreak/>
              <w:t>страхо-вого запаса</w:t>
            </w:r>
          </w:p>
        </w:tc>
      </w:tr>
      <w:tr w:rsidR="00E0567D" w:rsidRPr="00331DC2" w:rsidTr="00E0567D">
        <w:trPr>
          <w:trHeight w:val="20"/>
        </w:trPr>
        <w:tc>
          <w:tcPr>
            <w:tcW w:w="568"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p>
        </w:tc>
        <w:tc>
          <w:tcPr>
            <w:tcW w:w="3538"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Объём годового хранения</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тыс.тн</w:t>
            </w:r>
          </w:p>
        </w:tc>
        <w:tc>
          <w:tcPr>
            <w:tcW w:w="993"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501,8</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143,7</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154,4</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152,2</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51,5</w:t>
            </w:r>
          </w:p>
        </w:tc>
      </w:tr>
      <w:tr w:rsidR="00E0567D" w:rsidRPr="00331DC2" w:rsidTr="00E0567D">
        <w:trPr>
          <w:trHeight w:val="20"/>
        </w:trPr>
        <w:tc>
          <w:tcPr>
            <w:tcW w:w="568"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p>
        </w:tc>
        <w:tc>
          <w:tcPr>
            <w:tcW w:w="3538"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Средний срок хранения</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дни</w:t>
            </w:r>
          </w:p>
        </w:tc>
        <w:tc>
          <w:tcPr>
            <w:tcW w:w="993"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198,5</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152,0</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165,0</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220,0</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365,0</w:t>
            </w:r>
          </w:p>
        </w:tc>
      </w:tr>
      <w:tr w:rsidR="00E0567D" w:rsidRPr="00331DC2" w:rsidTr="00E0567D">
        <w:trPr>
          <w:trHeight w:val="20"/>
        </w:trPr>
        <w:tc>
          <w:tcPr>
            <w:tcW w:w="568"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p>
        </w:tc>
        <w:tc>
          <w:tcPr>
            <w:tcW w:w="3538"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Объём годового хранения</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тыс.тн-дн</w:t>
            </w:r>
          </w:p>
        </w:tc>
        <w:tc>
          <w:tcPr>
            <w:tcW w:w="993"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99 606,9</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21 843,9</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25 472,7</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33 492,8</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18 797,5</w:t>
            </w:r>
          </w:p>
        </w:tc>
      </w:tr>
      <w:tr w:rsidR="00E0567D" w:rsidRPr="00331DC2" w:rsidTr="00E0567D">
        <w:trPr>
          <w:trHeight w:val="20"/>
        </w:trPr>
        <w:tc>
          <w:tcPr>
            <w:tcW w:w="568"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p>
        </w:tc>
        <w:tc>
          <w:tcPr>
            <w:tcW w:w="3538"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 </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 </w:t>
            </w:r>
          </w:p>
        </w:tc>
        <w:tc>
          <w:tcPr>
            <w:tcW w:w="993"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 </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 </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 </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 </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 </w:t>
            </w:r>
          </w:p>
        </w:tc>
      </w:tr>
      <w:tr w:rsidR="00E0567D" w:rsidRPr="00331DC2" w:rsidTr="00E0567D">
        <w:trPr>
          <w:trHeight w:val="20"/>
        </w:trPr>
        <w:tc>
          <w:tcPr>
            <w:tcW w:w="568"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w:t>
            </w:r>
          </w:p>
        </w:tc>
        <w:tc>
          <w:tcPr>
            <w:tcW w:w="3538"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Сырьё и материалы</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тыс,руб.</w:t>
            </w:r>
          </w:p>
        </w:tc>
        <w:tc>
          <w:tcPr>
            <w:tcW w:w="993"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25 597,8</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6 919,5</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8 068,9</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10 609,4</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 </w:t>
            </w:r>
          </w:p>
        </w:tc>
      </w:tr>
      <w:tr w:rsidR="00E0567D" w:rsidRPr="00331DC2" w:rsidTr="00E0567D">
        <w:trPr>
          <w:trHeight w:val="20"/>
        </w:trPr>
        <w:tc>
          <w:tcPr>
            <w:tcW w:w="568"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2.</w:t>
            </w:r>
          </w:p>
        </w:tc>
        <w:tc>
          <w:tcPr>
            <w:tcW w:w="3538"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Топливо</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тыс.руб</w:t>
            </w:r>
          </w:p>
        </w:tc>
        <w:tc>
          <w:tcPr>
            <w:tcW w:w="993"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37 381,2</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10 104,7</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11 783,3</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15 493,3</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 </w:t>
            </w:r>
          </w:p>
        </w:tc>
      </w:tr>
      <w:tr w:rsidR="00E0567D" w:rsidRPr="00331DC2" w:rsidTr="00E0567D">
        <w:trPr>
          <w:trHeight w:val="20"/>
        </w:trPr>
        <w:tc>
          <w:tcPr>
            <w:tcW w:w="568"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3.</w:t>
            </w:r>
          </w:p>
        </w:tc>
        <w:tc>
          <w:tcPr>
            <w:tcW w:w="3538"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Электроэнергия</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тыс.руб.</w:t>
            </w:r>
          </w:p>
        </w:tc>
        <w:tc>
          <w:tcPr>
            <w:tcW w:w="993"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17 492,4</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4 728,4</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5 513.9</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7 250,0</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 </w:t>
            </w:r>
          </w:p>
        </w:tc>
      </w:tr>
      <w:tr w:rsidR="00E0567D" w:rsidRPr="00331DC2" w:rsidTr="00E0567D">
        <w:trPr>
          <w:trHeight w:val="20"/>
        </w:trPr>
        <w:tc>
          <w:tcPr>
            <w:tcW w:w="568"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4.</w:t>
            </w:r>
          </w:p>
        </w:tc>
        <w:tc>
          <w:tcPr>
            <w:tcW w:w="3538"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Тепловая энергия</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тыс.руб</w:t>
            </w:r>
          </w:p>
        </w:tc>
        <w:tc>
          <w:tcPr>
            <w:tcW w:w="993"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3 177,4</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858,9</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1 001.6</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1 316.9</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 </w:t>
            </w:r>
          </w:p>
        </w:tc>
      </w:tr>
      <w:tr w:rsidR="00E0567D" w:rsidRPr="00331DC2" w:rsidTr="00E0567D">
        <w:trPr>
          <w:trHeight w:val="20"/>
        </w:trPr>
        <w:tc>
          <w:tcPr>
            <w:tcW w:w="568"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5.</w:t>
            </w:r>
          </w:p>
        </w:tc>
        <w:tc>
          <w:tcPr>
            <w:tcW w:w="3538"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Вода</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тыс.руб.</w:t>
            </w:r>
          </w:p>
        </w:tc>
        <w:tc>
          <w:tcPr>
            <w:tcW w:w="993"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473,0</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127,9</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149,1</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196,0</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 </w:t>
            </w:r>
          </w:p>
        </w:tc>
      </w:tr>
      <w:tr w:rsidR="00E0567D" w:rsidRPr="00331DC2" w:rsidTr="00E0567D">
        <w:trPr>
          <w:trHeight w:val="20"/>
        </w:trPr>
        <w:tc>
          <w:tcPr>
            <w:tcW w:w="568"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6.</w:t>
            </w:r>
          </w:p>
        </w:tc>
        <w:tc>
          <w:tcPr>
            <w:tcW w:w="3538"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Затраты, на оплату труда</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тыс.руб.</w:t>
            </w:r>
          </w:p>
        </w:tc>
        <w:tc>
          <w:tcPr>
            <w:tcW w:w="993"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296 753,6</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73 505,3</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90 481,4</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115 832.0</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16 935.0</w:t>
            </w:r>
          </w:p>
        </w:tc>
      </w:tr>
      <w:tr w:rsidR="00E0567D" w:rsidRPr="00331DC2" w:rsidTr="00E0567D">
        <w:trPr>
          <w:trHeight w:val="20"/>
        </w:trPr>
        <w:tc>
          <w:tcPr>
            <w:tcW w:w="568" w:type="dxa"/>
            <w:tcBorders>
              <w:top w:val="single" w:sz="4" w:space="0" w:color="auto"/>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7.</w:t>
            </w:r>
          </w:p>
        </w:tc>
        <w:tc>
          <w:tcPr>
            <w:tcW w:w="3538" w:type="dxa"/>
            <w:tcBorders>
              <w:top w:val="single" w:sz="4" w:space="0" w:color="auto"/>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Отчисления на социальные нужды</w:t>
            </w:r>
          </w:p>
        </w:tc>
        <w:tc>
          <w:tcPr>
            <w:tcW w:w="856" w:type="dxa"/>
            <w:tcBorders>
              <w:top w:val="single" w:sz="4" w:space="0" w:color="auto"/>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тыс.руб.</w:t>
            </w:r>
          </w:p>
        </w:tc>
        <w:tc>
          <w:tcPr>
            <w:tcW w:w="993" w:type="dxa"/>
            <w:tcBorders>
              <w:top w:val="single" w:sz="4" w:space="0" w:color="auto"/>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100 896,2</w:t>
            </w:r>
          </w:p>
        </w:tc>
        <w:tc>
          <w:tcPr>
            <w:tcW w:w="992" w:type="dxa"/>
            <w:tcBorders>
              <w:top w:val="single" w:sz="4" w:space="0" w:color="auto"/>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24 991,8</w:t>
            </w:r>
          </w:p>
        </w:tc>
        <w:tc>
          <w:tcPr>
            <w:tcW w:w="992" w:type="dxa"/>
            <w:tcBorders>
              <w:top w:val="single" w:sz="4" w:space="0" w:color="auto"/>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30 763,7</w:t>
            </w:r>
          </w:p>
        </w:tc>
        <w:tc>
          <w:tcPr>
            <w:tcW w:w="992" w:type="dxa"/>
            <w:tcBorders>
              <w:top w:val="single" w:sz="4" w:space="0" w:color="auto"/>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39 382,9</w:t>
            </w:r>
          </w:p>
        </w:tc>
        <w:tc>
          <w:tcPr>
            <w:tcW w:w="856" w:type="dxa"/>
            <w:tcBorders>
              <w:top w:val="single" w:sz="4" w:space="0" w:color="auto"/>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5 757,9</w:t>
            </w:r>
          </w:p>
        </w:tc>
      </w:tr>
      <w:tr w:rsidR="00E0567D" w:rsidRPr="00331DC2" w:rsidTr="00E0567D">
        <w:trPr>
          <w:trHeight w:val="170"/>
        </w:trPr>
        <w:tc>
          <w:tcPr>
            <w:tcW w:w="568"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8.</w:t>
            </w:r>
          </w:p>
        </w:tc>
        <w:tc>
          <w:tcPr>
            <w:tcW w:w="3538"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Амортизация ОФ</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тыс.руб.</w:t>
            </w:r>
          </w:p>
        </w:tc>
        <w:tc>
          <w:tcPr>
            <w:tcW w:w="993"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26 997,6</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7 297,8</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8510,2</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11 189,6</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 </w:t>
            </w:r>
          </w:p>
        </w:tc>
      </w:tr>
      <w:tr w:rsidR="00E0567D" w:rsidRPr="00331DC2" w:rsidTr="00E0567D">
        <w:trPr>
          <w:trHeight w:val="170"/>
        </w:trPr>
        <w:tc>
          <w:tcPr>
            <w:tcW w:w="568"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9.</w:t>
            </w:r>
          </w:p>
        </w:tc>
        <w:tc>
          <w:tcPr>
            <w:tcW w:w="3538"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Арендная плата</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тыс.руб.</w:t>
            </w:r>
          </w:p>
        </w:tc>
        <w:tc>
          <w:tcPr>
            <w:tcW w:w="993"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16 054,9</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4 339,9</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5 060,8</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6 654,2</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 </w:t>
            </w:r>
          </w:p>
        </w:tc>
      </w:tr>
      <w:tr w:rsidR="00E0567D" w:rsidRPr="00331DC2" w:rsidTr="00E0567D">
        <w:trPr>
          <w:trHeight w:val="170"/>
        </w:trPr>
        <w:tc>
          <w:tcPr>
            <w:tcW w:w="568"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10</w:t>
            </w:r>
          </w:p>
        </w:tc>
        <w:tc>
          <w:tcPr>
            <w:tcW w:w="3538"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Обязательные страховые платежи</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тыс.руб</w:t>
            </w:r>
          </w:p>
        </w:tc>
        <w:tc>
          <w:tcPr>
            <w:tcW w:w="993"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890,3</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220,5</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271.4</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347,5</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50.8</w:t>
            </w:r>
          </w:p>
        </w:tc>
      </w:tr>
      <w:tr w:rsidR="00E0567D" w:rsidRPr="00331DC2" w:rsidTr="00E0567D">
        <w:trPr>
          <w:trHeight w:val="170"/>
        </w:trPr>
        <w:tc>
          <w:tcPr>
            <w:tcW w:w="568"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11.</w:t>
            </w:r>
          </w:p>
        </w:tc>
        <w:tc>
          <w:tcPr>
            <w:tcW w:w="3538"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Добровольные страховые платежи</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тыс руб.</w:t>
            </w:r>
          </w:p>
        </w:tc>
        <w:tc>
          <w:tcPr>
            <w:tcW w:w="993"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51,5</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13.9</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16,2</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21,4</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 </w:t>
            </w:r>
          </w:p>
        </w:tc>
      </w:tr>
      <w:tr w:rsidR="00E0567D" w:rsidRPr="00331DC2" w:rsidTr="00E0567D">
        <w:trPr>
          <w:trHeight w:val="170"/>
        </w:trPr>
        <w:tc>
          <w:tcPr>
            <w:tcW w:w="568"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12.</w:t>
            </w:r>
          </w:p>
        </w:tc>
        <w:tc>
          <w:tcPr>
            <w:tcW w:w="3538"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Представительские расходы</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тыс.руб.</w:t>
            </w:r>
          </w:p>
        </w:tc>
        <w:tc>
          <w:tcPr>
            <w:tcW w:w="993"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5,9</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1,6</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1,9</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2,5</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 </w:t>
            </w:r>
          </w:p>
        </w:tc>
      </w:tr>
      <w:tr w:rsidR="00E0567D" w:rsidRPr="00331DC2" w:rsidTr="00E0567D">
        <w:trPr>
          <w:trHeight w:val="170"/>
        </w:trPr>
        <w:tc>
          <w:tcPr>
            <w:tcW w:w="568"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13.</w:t>
            </w:r>
          </w:p>
        </w:tc>
        <w:tc>
          <w:tcPr>
            <w:tcW w:w="3538"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Суточные и подъёмные</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тыс.руб.</w:t>
            </w:r>
          </w:p>
        </w:tc>
        <w:tc>
          <w:tcPr>
            <w:tcW w:w="993"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503,5</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136,1</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158.7</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208,7</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 </w:t>
            </w:r>
          </w:p>
        </w:tc>
      </w:tr>
      <w:tr w:rsidR="00E0567D" w:rsidRPr="00331DC2" w:rsidTr="00E0567D">
        <w:trPr>
          <w:trHeight w:val="170"/>
        </w:trPr>
        <w:tc>
          <w:tcPr>
            <w:tcW w:w="568"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14.</w:t>
            </w:r>
          </w:p>
        </w:tc>
        <w:tc>
          <w:tcPr>
            <w:tcW w:w="3538"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Налоги, включаемые в себестоимость</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тыс.руб.</w:t>
            </w:r>
          </w:p>
        </w:tc>
        <w:tc>
          <w:tcPr>
            <w:tcW w:w="993"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3 622,0</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979,1</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1 141,7</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1 501,2</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 </w:t>
            </w:r>
          </w:p>
        </w:tc>
      </w:tr>
      <w:tr w:rsidR="00E0567D" w:rsidRPr="00331DC2" w:rsidTr="00E0567D">
        <w:trPr>
          <w:trHeight w:val="170"/>
        </w:trPr>
        <w:tc>
          <w:tcPr>
            <w:tcW w:w="568"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14 1.</w:t>
            </w:r>
          </w:p>
        </w:tc>
        <w:tc>
          <w:tcPr>
            <w:tcW w:w="3538"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в т.ч. земельный налог</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3"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2 284,1</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617,4</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720,0</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946,7</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 </w:t>
            </w:r>
          </w:p>
        </w:tc>
      </w:tr>
      <w:tr w:rsidR="00E0567D" w:rsidRPr="00331DC2" w:rsidTr="00E0567D">
        <w:trPr>
          <w:trHeight w:val="170"/>
        </w:trPr>
        <w:tc>
          <w:tcPr>
            <w:tcW w:w="568"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14.2.</w:t>
            </w:r>
          </w:p>
        </w:tc>
        <w:tc>
          <w:tcPr>
            <w:tcW w:w="3538"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плата за выбросы (экологич. сбор)</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3"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862,0</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233,0</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271,7</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357,3</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 </w:t>
            </w:r>
          </w:p>
        </w:tc>
      </w:tr>
      <w:tr w:rsidR="00E0567D" w:rsidRPr="00331DC2" w:rsidTr="00E0567D">
        <w:trPr>
          <w:trHeight w:val="170"/>
        </w:trPr>
        <w:tc>
          <w:tcPr>
            <w:tcW w:w="568"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14.3.</w:t>
            </w:r>
          </w:p>
        </w:tc>
        <w:tc>
          <w:tcPr>
            <w:tcW w:w="3538"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плата за польз, водными объектами</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3"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17,5</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4,7</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5,5</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7,3</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 </w:t>
            </w:r>
          </w:p>
        </w:tc>
      </w:tr>
      <w:tr w:rsidR="00E0567D" w:rsidRPr="00331DC2" w:rsidTr="00E0567D">
        <w:trPr>
          <w:trHeight w:val="170"/>
        </w:trPr>
        <w:tc>
          <w:tcPr>
            <w:tcW w:w="568"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14.4.</w:t>
            </w:r>
          </w:p>
        </w:tc>
        <w:tc>
          <w:tcPr>
            <w:tcW w:w="3538"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налог с владельцев транспортных средств</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3"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458,3</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123,9</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144,5</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190,0</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 </w:t>
            </w:r>
          </w:p>
        </w:tc>
      </w:tr>
      <w:tr w:rsidR="00E0567D" w:rsidRPr="00331DC2" w:rsidTr="00E0567D">
        <w:trPr>
          <w:trHeight w:val="170"/>
        </w:trPr>
        <w:tc>
          <w:tcPr>
            <w:tcW w:w="568"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15.</w:t>
            </w:r>
          </w:p>
        </w:tc>
        <w:tc>
          <w:tcPr>
            <w:tcW w:w="3538" w:type="dxa"/>
            <w:tcBorders>
              <w:top w:val="nil"/>
              <w:left w:val="nil"/>
              <w:bottom w:val="single" w:sz="4" w:space="0" w:color="auto"/>
              <w:right w:val="single" w:sz="4" w:space="0" w:color="auto"/>
            </w:tcBorders>
            <w:noWrap/>
            <w:hideMark/>
          </w:tcPr>
          <w:p w:rsidR="00E0567D" w:rsidRPr="00331DC2" w:rsidRDefault="00E0567D" w:rsidP="00E0567D">
            <w:pPr>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Оплата услуг сторонних организаций</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тыс.руб.</w:t>
            </w:r>
          </w:p>
        </w:tc>
        <w:tc>
          <w:tcPr>
            <w:tcW w:w="993"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57 524,5</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15 549.7</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18 132,8</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23 842,0</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 </w:t>
            </w:r>
          </w:p>
        </w:tc>
      </w:tr>
      <w:tr w:rsidR="00E0567D" w:rsidRPr="00331DC2" w:rsidTr="00E0567D">
        <w:trPr>
          <w:trHeight w:val="170"/>
        </w:trPr>
        <w:tc>
          <w:tcPr>
            <w:tcW w:w="568"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15.1.</w:t>
            </w:r>
          </w:p>
        </w:tc>
        <w:tc>
          <w:tcPr>
            <w:tcW w:w="3538"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в т.ч услуги по транспортировке грузов</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3"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2 884,8</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779,8</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909,4</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1 195,7</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 </w:t>
            </w:r>
          </w:p>
        </w:tc>
      </w:tr>
      <w:tr w:rsidR="00E0567D" w:rsidRPr="00331DC2" w:rsidTr="00E0567D">
        <w:trPr>
          <w:trHeight w:val="170"/>
        </w:trPr>
        <w:tc>
          <w:tcPr>
            <w:tcW w:w="568"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15.2.</w:t>
            </w:r>
          </w:p>
        </w:tc>
        <w:tc>
          <w:tcPr>
            <w:tcW w:w="3538"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Строительного характера (капитальный ремонт)</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3"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5 454,7</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1 474,5</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1 719.4</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2 260.8</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 </w:t>
            </w:r>
          </w:p>
        </w:tc>
      </w:tr>
      <w:tr w:rsidR="00E0567D" w:rsidRPr="00331DC2" w:rsidTr="00E0567D">
        <w:trPr>
          <w:trHeight w:val="170"/>
        </w:trPr>
        <w:tc>
          <w:tcPr>
            <w:tcW w:w="568"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sz w:val="24"/>
                <w:szCs w:val="24"/>
              </w:rPr>
            </w:pPr>
            <w:r w:rsidRPr="00331DC2">
              <w:rPr>
                <w:rFonts w:ascii="Times New Roman" w:hAnsi="Times New Roman" w:cs="Times New Roman"/>
                <w:sz w:val="24"/>
                <w:szCs w:val="24"/>
              </w:rPr>
              <w:lastRenderedPageBreak/>
              <w:t>15.3.</w:t>
            </w:r>
          </w:p>
        </w:tc>
        <w:tc>
          <w:tcPr>
            <w:tcW w:w="3538"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Промышленного характера</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3"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0,0</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 </w:t>
            </w:r>
          </w:p>
        </w:tc>
      </w:tr>
      <w:tr w:rsidR="00E0567D" w:rsidRPr="00331DC2" w:rsidTr="00E0567D">
        <w:trPr>
          <w:trHeight w:val="170"/>
        </w:trPr>
        <w:tc>
          <w:tcPr>
            <w:tcW w:w="568"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15.4.</w:t>
            </w:r>
          </w:p>
        </w:tc>
        <w:tc>
          <w:tcPr>
            <w:tcW w:w="3538"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Прочие услуги производственного характера</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3"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15 560,8</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4 206.3</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4 905,1</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6 449,4</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 </w:t>
            </w:r>
          </w:p>
        </w:tc>
      </w:tr>
      <w:tr w:rsidR="00E0567D" w:rsidRPr="00331DC2" w:rsidTr="00E0567D">
        <w:trPr>
          <w:trHeight w:val="170"/>
        </w:trPr>
        <w:tc>
          <w:tcPr>
            <w:tcW w:w="568"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15.5.</w:t>
            </w:r>
          </w:p>
        </w:tc>
        <w:tc>
          <w:tcPr>
            <w:tcW w:w="3538"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Реклама</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3"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505,5</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136,7</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159,4</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209,5</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 </w:t>
            </w:r>
          </w:p>
        </w:tc>
      </w:tr>
      <w:tr w:rsidR="00E0567D" w:rsidRPr="00331DC2" w:rsidTr="00E0567D">
        <w:trPr>
          <w:trHeight w:val="170"/>
        </w:trPr>
        <w:tc>
          <w:tcPr>
            <w:tcW w:w="568"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15.6.</w:t>
            </w:r>
          </w:p>
        </w:tc>
        <w:tc>
          <w:tcPr>
            <w:tcW w:w="3538"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Вневедомственной и пожарной охраны</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3"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23 681,1</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6 401,3</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7 464,7</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9 815,0</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 </w:t>
            </w:r>
          </w:p>
        </w:tc>
      </w:tr>
      <w:tr w:rsidR="00E0567D" w:rsidRPr="00331DC2" w:rsidTr="00E0567D">
        <w:trPr>
          <w:trHeight w:val="170"/>
        </w:trPr>
        <w:tc>
          <w:tcPr>
            <w:tcW w:w="568"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15.7.</w:t>
            </w:r>
          </w:p>
        </w:tc>
        <w:tc>
          <w:tcPr>
            <w:tcW w:w="3538"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Гидрометеослужбы</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3"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48,1</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13,0</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15,1</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19,9</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 </w:t>
            </w:r>
          </w:p>
        </w:tc>
      </w:tr>
      <w:tr w:rsidR="00E0567D" w:rsidRPr="00331DC2" w:rsidTr="00E0567D">
        <w:trPr>
          <w:trHeight w:val="170"/>
        </w:trPr>
        <w:tc>
          <w:tcPr>
            <w:tcW w:w="568"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15.8.</w:t>
            </w:r>
          </w:p>
        </w:tc>
        <w:tc>
          <w:tcPr>
            <w:tcW w:w="3538"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Здравоохранения</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3"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97,0</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26.2</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30,6</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40.2</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 </w:t>
            </w:r>
          </w:p>
        </w:tc>
      </w:tr>
      <w:tr w:rsidR="00E0567D" w:rsidRPr="00331DC2" w:rsidTr="00E0567D">
        <w:trPr>
          <w:trHeight w:val="170"/>
        </w:trPr>
        <w:tc>
          <w:tcPr>
            <w:tcW w:w="568"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15.9.</w:t>
            </w:r>
          </w:p>
        </w:tc>
        <w:tc>
          <w:tcPr>
            <w:tcW w:w="3538"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Информационно-вычислительное обслуживание</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3"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1 131,5</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305.8</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356,7</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469,0</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 </w:t>
            </w:r>
          </w:p>
        </w:tc>
      </w:tr>
      <w:tr w:rsidR="00E0567D" w:rsidRPr="00331DC2" w:rsidTr="00E0567D">
        <w:trPr>
          <w:trHeight w:val="170"/>
        </w:trPr>
        <w:tc>
          <w:tcPr>
            <w:tcW w:w="568"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15.10.</w:t>
            </w:r>
          </w:p>
        </w:tc>
        <w:tc>
          <w:tcPr>
            <w:tcW w:w="3538"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Проживание в гостинице(команд)</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3"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1 247,7</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337,3</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393.3</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517,1</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 </w:t>
            </w:r>
          </w:p>
        </w:tc>
      </w:tr>
      <w:tr w:rsidR="00E0567D" w:rsidRPr="00331DC2" w:rsidTr="00E0567D">
        <w:trPr>
          <w:trHeight w:val="170"/>
        </w:trPr>
        <w:tc>
          <w:tcPr>
            <w:tcW w:w="568"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15.11.</w:t>
            </w:r>
          </w:p>
        </w:tc>
        <w:tc>
          <w:tcPr>
            <w:tcW w:w="3538"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Нотариальных и юридических учреждений</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3"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68,4</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18,5</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21.6</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28,3</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 </w:t>
            </w:r>
          </w:p>
        </w:tc>
      </w:tr>
      <w:tr w:rsidR="00E0567D" w:rsidRPr="00331DC2" w:rsidTr="00E0567D">
        <w:trPr>
          <w:trHeight w:val="170"/>
        </w:trPr>
        <w:tc>
          <w:tcPr>
            <w:tcW w:w="568"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15.12.</w:t>
            </w:r>
          </w:p>
        </w:tc>
        <w:tc>
          <w:tcPr>
            <w:tcW w:w="3538"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Образования (подготовка кадров)</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3"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524,0</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141,7</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165,2</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217,2</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 </w:t>
            </w:r>
          </w:p>
        </w:tc>
      </w:tr>
      <w:tr w:rsidR="00E0567D" w:rsidRPr="00331DC2" w:rsidTr="00E0567D">
        <w:trPr>
          <w:trHeight w:val="170"/>
        </w:trPr>
        <w:tc>
          <w:tcPr>
            <w:tcW w:w="568"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15.13.</w:t>
            </w:r>
          </w:p>
        </w:tc>
        <w:tc>
          <w:tcPr>
            <w:tcW w:w="3538"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Пассажирского транспорта (проезд в командировку)</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3"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2 729,8</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737,9</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860,5</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1 131,4</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 </w:t>
            </w:r>
          </w:p>
        </w:tc>
      </w:tr>
      <w:tr w:rsidR="00E0567D" w:rsidRPr="00331DC2" w:rsidTr="00E0567D">
        <w:trPr>
          <w:trHeight w:val="170"/>
        </w:trPr>
        <w:tc>
          <w:tcPr>
            <w:tcW w:w="568"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15 14.</w:t>
            </w:r>
          </w:p>
        </w:tc>
        <w:tc>
          <w:tcPr>
            <w:tcW w:w="3538"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Связи</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3"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3 362,0</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908,8</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1 059,8</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1 393,4</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 </w:t>
            </w:r>
          </w:p>
        </w:tc>
      </w:tr>
      <w:tr w:rsidR="00E0567D" w:rsidRPr="00331DC2" w:rsidTr="00E0567D">
        <w:trPr>
          <w:trHeight w:val="170"/>
        </w:trPr>
        <w:tc>
          <w:tcPr>
            <w:tcW w:w="568"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15.15.</w:t>
            </w:r>
          </w:p>
        </w:tc>
        <w:tc>
          <w:tcPr>
            <w:tcW w:w="3538"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Аудиторских организаций</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3"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229,2</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62,0</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72,3</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95,0</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sz w:val="24"/>
                <w:szCs w:val="24"/>
              </w:rPr>
            </w:pPr>
            <w:r w:rsidRPr="00331DC2">
              <w:rPr>
                <w:rFonts w:ascii="Times New Roman" w:hAnsi="Times New Roman" w:cs="Times New Roman"/>
                <w:sz w:val="24"/>
                <w:szCs w:val="24"/>
              </w:rPr>
              <w:t> </w:t>
            </w:r>
          </w:p>
        </w:tc>
      </w:tr>
      <w:tr w:rsidR="00E0567D" w:rsidRPr="00331DC2" w:rsidTr="00E0567D">
        <w:trPr>
          <w:trHeight w:val="170"/>
        </w:trPr>
        <w:tc>
          <w:tcPr>
            <w:tcW w:w="568"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16.</w:t>
            </w:r>
          </w:p>
        </w:tc>
        <w:tc>
          <w:tcPr>
            <w:tcW w:w="3538"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Другие затраты</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тыс.руб.</w:t>
            </w:r>
          </w:p>
        </w:tc>
        <w:tc>
          <w:tcPr>
            <w:tcW w:w="993"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16 765,0</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4 531,8</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5 284,7</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6 948,6</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 </w:t>
            </w:r>
          </w:p>
        </w:tc>
      </w:tr>
      <w:tr w:rsidR="00E0567D" w:rsidRPr="00331DC2" w:rsidTr="00E0567D">
        <w:trPr>
          <w:trHeight w:val="170"/>
        </w:trPr>
        <w:tc>
          <w:tcPr>
            <w:tcW w:w="568"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p>
        </w:tc>
        <w:tc>
          <w:tcPr>
            <w:tcW w:w="3538"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ИТОГО ИЗДЕРЖКИ</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тыс.руб.</w:t>
            </w:r>
          </w:p>
        </w:tc>
        <w:tc>
          <w:tcPr>
            <w:tcW w:w="993"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604 186,8</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154 306,8</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186 340,3</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240 796,0</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22 743,7</w:t>
            </w:r>
          </w:p>
        </w:tc>
      </w:tr>
      <w:tr w:rsidR="00E0567D" w:rsidRPr="00331DC2" w:rsidTr="00E0567D">
        <w:trPr>
          <w:trHeight w:val="170"/>
        </w:trPr>
        <w:tc>
          <w:tcPr>
            <w:tcW w:w="568"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color w:val="FF0000"/>
                <w:sz w:val="24"/>
                <w:szCs w:val="24"/>
              </w:rPr>
            </w:pPr>
          </w:p>
        </w:tc>
        <w:tc>
          <w:tcPr>
            <w:tcW w:w="3538"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color w:val="FF0000"/>
                <w:sz w:val="24"/>
                <w:szCs w:val="24"/>
              </w:rPr>
            </w:pPr>
            <w:r w:rsidRPr="00331DC2">
              <w:rPr>
                <w:rFonts w:ascii="Times New Roman" w:hAnsi="Times New Roman" w:cs="Times New Roman"/>
                <w:b/>
                <w:bCs/>
                <w:color w:val="FF0000"/>
                <w:sz w:val="24"/>
                <w:szCs w:val="24"/>
              </w:rPr>
              <w:t>НЕОБХОДИМАЯ ПРИБЫЛЬ</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color w:val="FF0000"/>
                <w:sz w:val="24"/>
                <w:szCs w:val="24"/>
              </w:rPr>
            </w:pPr>
            <w:r w:rsidRPr="00331DC2">
              <w:rPr>
                <w:rFonts w:ascii="Times New Roman" w:hAnsi="Times New Roman" w:cs="Times New Roman"/>
                <w:b/>
                <w:bCs/>
                <w:color w:val="FF0000"/>
                <w:sz w:val="24"/>
                <w:szCs w:val="24"/>
              </w:rPr>
              <w:t>тыс.руб.</w:t>
            </w:r>
          </w:p>
        </w:tc>
        <w:tc>
          <w:tcPr>
            <w:tcW w:w="993"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color w:val="FF0000"/>
                <w:sz w:val="24"/>
                <w:szCs w:val="24"/>
              </w:rPr>
            </w:pPr>
            <w:r w:rsidRPr="00331DC2">
              <w:rPr>
                <w:rFonts w:ascii="Times New Roman" w:hAnsi="Times New Roman" w:cs="Times New Roman"/>
                <w:b/>
                <w:bCs/>
                <w:color w:val="FF0000"/>
                <w:sz w:val="24"/>
                <w:szCs w:val="24"/>
              </w:rPr>
              <w:t>54 321,1</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color w:val="FF0000"/>
                <w:sz w:val="24"/>
                <w:szCs w:val="24"/>
              </w:rPr>
            </w:pPr>
            <w:r w:rsidRPr="00331DC2">
              <w:rPr>
                <w:rFonts w:ascii="Times New Roman" w:hAnsi="Times New Roman" w:cs="Times New Roman"/>
                <w:b/>
                <w:bCs/>
                <w:color w:val="FF0000"/>
                <w:sz w:val="24"/>
                <w:szCs w:val="24"/>
              </w:rPr>
              <w:t>0,0</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color w:val="FF0000"/>
                <w:sz w:val="24"/>
                <w:szCs w:val="24"/>
              </w:rPr>
            </w:pPr>
            <w:r w:rsidRPr="00331DC2">
              <w:rPr>
                <w:rFonts w:ascii="Times New Roman" w:hAnsi="Times New Roman" w:cs="Times New Roman"/>
                <w:b/>
                <w:bCs/>
                <w:color w:val="FF0000"/>
                <w:sz w:val="24"/>
                <w:szCs w:val="24"/>
              </w:rPr>
              <w:t>24 828,3</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color w:val="FF0000"/>
                <w:sz w:val="24"/>
                <w:szCs w:val="24"/>
              </w:rPr>
            </w:pPr>
            <w:r w:rsidRPr="00331DC2">
              <w:rPr>
                <w:rFonts w:ascii="Times New Roman" w:hAnsi="Times New Roman" w:cs="Times New Roman"/>
                <w:b/>
                <w:bCs/>
                <w:color w:val="FF0000"/>
                <w:sz w:val="24"/>
                <w:szCs w:val="24"/>
              </w:rPr>
              <w:t>29 492,9</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color w:val="FF0000"/>
                <w:sz w:val="24"/>
                <w:szCs w:val="24"/>
              </w:rPr>
            </w:pPr>
            <w:r w:rsidRPr="00331DC2">
              <w:rPr>
                <w:rFonts w:ascii="Times New Roman" w:hAnsi="Times New Roman" w:cs="Times New Roman"/>
                <w:b/>
                <w:bCs/>
                <w:color w:val="FF0000"/>
                <w:sz w:val="24"/>
                <w:szCs w:val="24"/>
              </w:rPr>
              <w:t>0,0</w:t>
            </w:r>
          </w:p>
        </w:tc>
      </w:tr>
      <w:tr w:rsidR="00E0567D" w:rsidRPr="00331DC2" w:rsidTr="00E0567D">
        <w:trPr>
          <w:trHeight w:val="489"/>
        </w:trPr>
        <w:tc>
          <w:tcPr>
            <w:tcW w:w="568"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p>
        </w:tc>
        <w:tc>
          <w:tcPr>
            <w:tcW w:w="3538"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НЕОБХОДИМЫЙ ВАЛОВЫЙ ДОХОД</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тыс.руб.</w:t>
            </w:r>
          </w:p>
        </w:tc>
        <w:tc>
          <w:tcPr>
            <w:tcW w:w="993"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658 507,9</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154 306,8</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211 168,7</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270 288,9</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22 743,7</w:t>
            </w:r>
          </w:p>
        </w:tc>
      </w:tr>
      <w:tr w:rsidR="00E0567D" w:rsidRPr="00331DC2" w:rsidTr="00E0567D">
        <w:trPr>
          <w:trHeight w:val="227"/>
        </w:trPr>
        <w:tc>
          <w:tcPr>
            <w:tcW w:w="568"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p>
        </w:tc>
        <w:tc>
          <w:tcPr>
            <w:tcW w:w="3538"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 </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 </w:t>
            </w:r>
          </w:p>
        </w:tc>
        <w:tc>
          <w:tcPr>
            <w:tcW w:w="993"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 </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 </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 </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 </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 </w:t>
            </w:r>
          </w:p>
        </w:tc>
      </w:tr>
      <w:tr w:rsidR="00E0567D" w:rsidRPr="00331DC2" w:rsidTr="00E0567D">
        <w:trPr>
          <w:trHeight w:val="227"/>
        </w:trPr>
        <w:tc>
          <w:tcPr>
            <w:tcW w:w="568"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p>
        </w:tc>
        <w:tc>
          <w:tcPr>
            <w:tcW w:w="3538"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ТАРИФ ЗА 1 ТН-СУТ.</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руб.</w:t>
            </w:r>
          </w:p>
        </w:tc>
        <w:tc>
          <w:tcPr>
            <w:tcW w:w="993"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 </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7,06</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8,29</w:t>
            </w:r>
          </w:p>
        </w:tc>
        <w:tc>
          <w:tcPr>
            <w:tcW w:w="99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8,07</w:t>
            </w:r>
          </w:p>
        </w:tc>
        <w:tc>
          <w:tcPr>
            <w:tcW w:w="856"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1,21</w:t>
            </w:r>
          </w:p>
        </w:tc>
      </w:tr>
    </w:tbl>
    <w:p w:rsidR="00E0567D" w:rsidRPr="00331DC2" w:rsidRDefault="00E0567D" w:rsidP="00E0567D">
      <w:pPr>
        <w:autoSpaceDE w:val="0"/>
        <w:autoSpaceDN w:val="0"/>
        <w:adjustRightInd w:val="0"/>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 xml:space="preserve"> </w:t>
      </w:r>
    </w:p>
    <w:p w:rsidR="00E0567D" w:rsidRPr="00331DC2" w:rsidRDefault="00E0567D" w:rsidP="00E0567D">
      <w:pPr>
        <w:pStyle w:val="af"/>
        <w:ind w:firstLine="709"/>
        <w:contextualSpacing/>
        <w:jc w:val="both"/>
        <w:rPr>
          <w:rFonts w:cs="Times New Roman"/>
          <w:lang w:val="ru-RU"/>
        </w:rPr>
      </w:pPr>
      <w:r w:rsidRPr="00331DC2">
        <w:rPr>
          <w:rFonts w:cs="Times New Roman"/>
          <w:lang w:val="ru-RU"/>
        </w:rPr>
        <w:t>Таблица 2.</w:t>
      </w:r>
    </w:p>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Расчёт стоимости услуг по приёмо-складским операциям на филиалах-нефтебазах ОАО «Саханефтегазсбыт» в 2011 году.</w:t>
      </w:r>
    </w:p>
    <w:tbl>
      <w:tblPr>
        <w:tblW w:w="9512" w:type="dxa"/>
        <w:tblInd w:w="93" w:type="dxa"/>
        <w:tblLayout w:type="fixed"/>
        <w:tblLook w:val="04A0"/>
      </w:tblPr>
      <w:tblGrid>
        <w:gridCol w:w="724"/>
        <w:gridCol w:w="4261"/>
        <w:gridCol w:w="842"/>
        <w:gridCol w:w="992"/>
        <w:gridCol w:w="1134"/>
        <w:gridCol w:w="1559"/>
      </w:tblGrid>
      <w:tr w:rsidR="00E0567D" w:rsidRPr="00331DC2" w:rsidTr="00E0567D">
        <w:trPr>
          <w:trHeight w:val="285"/>
        </w:trPr>
        <w:tc>
          <w:tcPr>
            <w:tcW w:w="724" w:type="dxa"/>
            <w:vMerge w:val="restart"/>
            <w:tcBorders>
              <w:top w:val="single" w:sz="4" w:space="0" w:color="auto"/>
              <w:left w:val="single" w:sz="4" w:space="0" w:color="auto"/>
              <w:bottom w:val="single" w:sz="4" w:space="0" w:color="000000"/>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№п/п</w:t>
            </w:r>
          </w:p>
        </w:tc>
        <w:tc>
          <w:tcPr>
            <w:tcW w:w="4261" w:type="dxa"/>
            <w:vMerge w:val="restart"/>
            <w:tcBorders>
              <w:top w:val="single" w:sz="4" w:space="0" w:color="auto"/>
              <w:left w:val="single" w:sz="4" w:space="0" w:color="auto"/>
              <w:bottom w:val="single" w:sz="4" w:space="0" w:color="000000"/>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Показатели</w:t>
            </w:r>
          </w:p>
        </w:tc>
        <w:tc>
          <w:tcPr>
            <w:tcW w:w="842" w:type="dxa"/>
            <w:vMerge w:val="restart"/>
            <w:tcBorders>
              <w:top w:val="single" w:sz="4" w:space="0" w:color="auto"/>
              <w:left w:val="single" w:sz="4" w:space="0" w:color="auto"/>
              <w:bottom w:val="single" w:sz="4" w:space="0" w:color="000000"/>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Ед.изм.</w:t>
            </w:r>
          </w:p>
        </w:tc>
        <w:tc>
          <w:tcPr>
            <w:tcW w:w="992" w:type="dxa"/>
            <w:vMerge w:val="restart"/>
            <w:tcBorders>
              <w:top w:val="single" w:sz="4" w:space="0" w:color="auto"/>
              <w:bottom w:val="single" w:sz="4" w:space="0" w:color="auto"/>
              <w:right w:val="single" w:sz="4" w:space="0" w:color="auto"/>
            </w:tcBorders>
          </w:tcPr>
          <w:p w:rsidR="00E0567D" w:rsidRPr="00331DC2" w:rsidRDefault="00E0567D" w:rsidP="00E0567D">
            <w:pPr>
              <w:spacing w:line="240" w:lineRule="atLeast"/>
              <w:ind w:left="-9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Приёмо-складские операции всего</w:t>
            </w:r>
          </w:p>
        </w:tc>
        <w:tc>
          <w:tcPr>
            <w:tcW w:w="2693" w:type="dxa"/>
            <w:gridSpan w:val="2"/>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в том числе</w:t>
            </w:r>
          </w:p>
        </w:tc>
      </w:tr>
      <w:tr w:rsidR="00E0567D" w:rsidRPr="00331DC2" w:rsidTr="00E0567D">
        <w:trPr>
          <w:trHeight w:val="896"/>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E0567D" w:rsidRPr="00331DC2" w:rsidRDefault="00E0567D" w:rsidP="00E0567D">
            <w:pPr>
              <w:spacing w:line="240" w:lineRule="atLeast"/>
              <w:ind w:left="-93" w:right="-108"/>
              <w:contextualSpacing/>
              <w:jc w:val="both"/>
              <w:rPr>
                <w:rFonts w:ascii="Times New Roman" w:hAnsi="Times New Roman" w:cs="Times New Roman"/>
                <w:b/>
                <w:bCs/>
                <w:sz w:val="24"/>
                <w:szCs w:val="24"/>
              </w:rPr>
            </w:pPr>
          </w:p>
        </w:tc>
        <w:tc>
          <w:tcPr>
            <w:tcW w:w="4261" w:type="dxa"/>
            <w:vMerge/>
            <w:tcBorders>
              <w:top w:val="single" w:sz="4" w:space="0" w:color="auto"/>
              <w:left w:val="single" w:sz="4" w:space="0" w:color="auto"/>
              <w:bottom w:val="single" w:sz="4" w:space="0" w:color="000000"/>
              <w:right w:val="single" w:sz="4" w:space="0" w:color="auto"/>
            </w:tcBorders>
            <w:vAlign w:val="center"/>
            <w:hideMark/>
          </w:tcPr>
          <w:p w:rsidR="00E0567D" w:rsidRPr="00331DC2" w:rsidRDefault="00E0567D" w:rsidP="00E0567D">
            <w:pPr>
              <w:spacing w:line="240" w:lineRule="atLeast"/>
              <w:ind w:left="-93" w:right="-108"/>
              <w:contextualSpacing/>
              <w:jc w:val="both"/>
              <w:rPr>
                <w:rFonts w:ascii="Times New Roman" w:hAnsi="Times New Roman" w:cs="Times New Roman"/>
                <w:b/>
                <w:bCs/>
                <w:sz w:val="24"/>
                <w:szCs w:val="24"/>
              </w:rPr>
            </w:pPr>
          </w:p>
        </w:tc>
        <w:tc>
          <w:tcPr>
            <w:tcW w:w="842" w:type="dxa"/>
            <w:vMerge/>
            <w:tcBorders>
              <w:top w:val="single" w:sz="4" w:space="0" w:color="auto"/>
              <w:left w:val="single" w:sz="4" w:space="0" w:color="auto"/>
              <w:bottom w:val="single" w:sz="4" w:space="0" w:color="000000"/>
              <w:right w:val="single" w:sz="4" w:space="0" w:color="auto"/>
            </w:tcBorders>
            <w:vAlign w:val="center"/>
            <w:hideMark/>
          </w:tcPr>
          <w:p w:rsidR="00E0567D" w:rsidRPr="00331DC2" w:rsidRDefault="00E0567D" w:rsidP="00E0567D">
            <w:pPr>
              <w:spacing w:line="240" w:lineRule="atLeast"/>
              <w:ind w:left="-93" w:right="-108"/>
              <w:contextualSpacing/>
              <w:jc w:val="both"/>
              <w:rPr>
                <w:rFonts w:ascii="Times New Roman" w:hAnsi="Times New Roman" w:cs="Times New Roman"/>
                <w:b/>
                <w:bCs/>
                <w:sz w:val="24"/>
                <w:szCs w:val="24"/>
              </w:rPr>
            </w:pPr>
          </w:p>
        </w:tc>
        <w:tc>
          <w:tcPr>
            <w:tcW w:w="992" w:type="dxa"/>
            <w:vMerge/>
            <w:tcBorders>
              <w:top w:val="single" w:sz="4" w:space="0" w:color="auto"/>
              <w:bottom w:val="single" w:sz="4" w:space="0" w:color="auto"/>
              <w:right w:val="single" w:sz="4" w:space="0" w:color="auto"/>
            </w:tcBorders>
            <w:vAlign w:val="center"/>
          </w:tcPr>
          <w:p w:rsidR="00E0567D" w:rsidRPr="00331DC2" w:rsidRDefault="00E0567D" w:rsidP="00E0567D">
            <w:pPr>
              <w:spacing w:line="240" w:lineRule="atLeast"/>
              <w:ind w:left="-93"/>
              <w:contextualSpacing/>
              <w:jc w:val="both"/>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нефтепро-дукты</w:t>
            </w:r>
          </w:p>
        </w:tc>
        <w:tc>
          <w:tcPr>
            <w:tcW w:w="1559" w:type="dxa"/>
            <w:tcBorders>
              <w:top w:val="single" w:sz="4" w:space="0" w:color="auto"/>
              <w:left w:val="single" w:sz="4" w:space="0" w:color="auto"/>
              <w:bottom w:val="single" w:sz="4" w:space="0" w:color="auto"/>
              <w:right w:val="single" w:sz="4" w:space="0" w:color="auto"/>
            </w:tcBorders>
            <w:vAlign w:val="center"/>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местное топливо (нефть, газоконденсат-ное топливо)</w:t>
            </w:r>
          </w:p>
        </w:tc>
      </w:tr>
      <w:tr w:rsidR="00E0567D" w:rsidRPr="00331DC2" w:rsidTr="00E0567D">
        <w:trPr>
          <w:trHeight w:val="300"/>
        </w:trPr>
        <w:tc>
          <w:tcPr>
            <w:tcW w:w="724"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 </w:t>
            </w:r>
          </w:p>
        </w:tc>
        <w:tc>
          <w:tcPr>
            <w:tcW w:w="4261"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Объём</w:t>
            </w:r>
          </w:p>
        </w:tc>
        <w:tc>
          <w:tcPr>
            <w:tcW w:w="84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тыс.тн</w:t>
            </w:r>
          </w:p>
        </w:tc>
        <w:tc>
          <w:tcPr>
            <w:tcW w:w="992" w:type="dxa"/>
            <w:tcBorders>
              <w:top w:val="single" w:sz="4" w:space="0" w:color="auto"/>
              <w:bottom w:val="single" w:sz="4" w:space="0" w:color="auto"/>
              <w:right w:val="single" w:sz="4" w:space="0" w:color="auto"/>
            </w:tcBorders>
          </w:tcPr>
          <w:p w:rsidR="00E0567D" w:rsidRPr="00331DC2" w:rsidRDefault="00E0567D" w:rsidP="00E0567D">
            <w:pPr>
              <w:spacing w:line="240" w:lineRule="atLeast"/>
              <w:ind w:left="-9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581,26</w:t>
            </w:r>
          </w:p>
        </w:tc>
        <w:tc>
          <w:tcPr>
            <w:tcW w:w="1134"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370,01</w:t>
            </w:r>
          </w:p>
        </w:tc>
        <w:tc>
          <w:tcPr>
            <w:tcW w:w="1559"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211,25</w:t>
            </w:r>
          </w:p>
        </w:tc>
      </w:tr>
      <w:tr w:rsidR="00E0567D" w:rsidRPr="00331DC2" w:rsidTr="00E0567D">
        <w:trPr>
          <w:trHeight w:val="300"/>
        </w:trPr>
        <w:tc>
          <w:tcPr>
            <w:tcW w:w="724"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 </w:t>
            </w:r>
          </w:p>
        </w:tc>
        <w:tc>
          <w:tcPr>
            <w:tcW w:w="4261"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 </w:t>
            </w:r>
          </w:p>
        </w:tc>
        <w:tc>
          <w:tcPr>
            <w:tcW w:w="84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 </w:t>
            </w:r>
          </w:p>
        </w:tc>
        <w:tc>
          <w:tcPr>
            <w:tcW w:w="992" w:type="dxa"/>
            <w:tcBorders>
              <w:top w:val="single" w:sz="4" w:space="0" w:color="auto"/>
              <w:bottom w:val="single" w:sz="4" w:space="0" w:color="auto"/>
              <w:right w:val="single" w:sz="4" w:space="0" w:color="auto"/>
            </w:tcBorders>
          </w:tcPr>
          <w:p w:rsidR="00E0567D" w:rsidRPr="00331DC2" w:rsidRDefault="00E0567D" w:rsidP="00E0567D">
            <w:pPr>
              <w:spacing w:line="240" w:lineRule="atLeast"/>
              <w:ind w:left="-9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 </w:t>
            </w:r>
          </w:p>
        </w:tc>
        <w:tc>
          <w:tcPr>
            <w:tcW w:w="1134"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 </w:t>
            </w:r>
          </w:p>
        </w:tc>
        <w:tc>
          <w:tcPr>
            <w:tcW w:w="1559"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 </w:t>
            </w:r>
          </w:p>
        </w:tc>
      </w:tr>
      <w:tr w:rsidR="00E0567D" w:rsidRPr="00331DC2" w:rsidTr="00E0567D">
        <w:trPr>
          <w:trHeight w:val="300"/>
        </w:trPr>
        <w:tc>
          <w:tcPr>
            <w:tcW w:w="724"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w:t>
            </w:r>
          </w:p>
        </w:tc>
        <w:tc>
          <w:tcPr>
            <w:tcW w:w="4261"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Сырьё и материалы</w:t>
            </w:r>
          </w:p>
        </w:tc>
        <w:tc>
          <w:tcPr>
            <w:tcW w:w="84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2" w:type="dxa"/>
            <w:tcBorders>
              <w:top w:val="single" w:sz="4" w:space="0" w:color="auto"/>
              <w:bottom w:val="single" w:sz="4" w:space="0" w:color="auto"/>
              <w:right w:val="single" w:sz="4" w:space="0" w:color="auto"/>
            </w:tcBorders>
          </w:tcPr>
          <w:p w:rsidR="00E0567D" w:rsidRPr="00331DC2" w:rsidRDefault="00E0567D" w:rsidP="00E0567D">
            <w:pPr>
              <w:spacing w:line="240" w:lineRule="atLeast"/>
              <w:ind w:left="-9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25786,3</w:t>
            </w:r>
          </w:p>
        </w:tc>
        <w:tc>
          <w:tcPr>
            <w:tcW w:w="1134"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16414,7</w:t>
            </w:r>
          </w:p>
        </w:tc>
        <w:tc>
          <w:tcPr>
            <w:tcW w:w="1559"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9371,6</w:t>
            </w:r>
          </w:p>
        </w:tc>
      </w:tr>
      <w:tr w:rsidR="00E0567D" w:rsidRPr="00331DC2" w:rsidTr="00E0567D">
        <w:trPr>
          <w:trHeight w:val="300"/>
        </w:trPr>
        <w:tc>
          <w:tcPr>
            <w:tcW w:w="724"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2.</w:t>
            </w:r>
          </w:p>
        </w:tc>
        <w:tc>
          <w:tcPr>
            <w:tcW w:w="4261"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Топливо</w:t>
            </w:r>
          </w:p>
        </w:tc>
        <w:tc>
          <w:tcPr>
            <w:tcW w:w="84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2" w:type="dxa"/>
            <w:tcBorders>
              <w:top w:val="single" w:sz="4" w:space="0" w:color="auto"/>
              <w:bottom w:val="single" w:sz="4" w:space="0" w:color="auto"/>
              <w:right w:val="single" w:sz="4" w:space="0" w:color="auto"/>
            </w:tcBorders>
          </w:tcPr>
          <w:p w:rsidR="00E0567D" w:rsidRPr="00331DC2" w:rsidRDefault="00E0567D" w:rsidP="00E0567D">
            <w:pPr>
              <w:spacing w:line="240" w:lineRule="atLeast"/>
              <w:ind w:left="-9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37656,4</w:t>
            </w:r>
          </w:p>
        </w:tc>
        <w:tc>
          <w:tcPr>
            <w:tcW w:w="1134"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23970,8</w:t>
            </w:r>
          </w:p>
        </w:tc>
        <w:tc>
          <w:tcPr>
            <w:tcW w:w="1559"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13685,6</w:t>
            </w:r>
          </w:p>
        </w:tc>
      </w:tr>
      <w:tr w:rsidR="00E0567D" w:rsidRPr="00331DC2" w:rsidTr="00E0567D">
        <w:trPr>
          <w:trHeight w:val="300"/>
        </w:trPr>
        <w:tc>
          <w:tcPr>
            <w:tcW w:w="724"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lastRenderedPageBreak/>
              <w:t>3.</w:t>
            </w:r>
          </w:p>
        </w:tc>
        <w:tc>
          <w:tcPr>
            <w:tcW w:w="4261"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Электроэнергия</w:t>
            </w:r>
          </w:p>
        </w:tc>
        <w:tc>
          <w:tcPr>
            <w:tcW w:w="84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2" w:type="dxa"/>
            <w:tcBorders>
              <w:top w:val="single" w:sz="4" w:space="0" w:color="auto"/>
              <w:bottom w:val="single" w:sz="4" w:space="0" w:color="auto"/>
              <w:right w:val="single" w:sz="4" w:space="0" w:color="auto"/>
            </w:tcBorders>
          </w:tcPr>
          <w:p w:rsidR="00E0567D" w:rsidRPr="00331DC2" w:rsidRDefault="00E0567D" w:rsidP="00E0567D">
            <w:pPr>
              <w:spacing w:line="240" w:lineRule="atLeast"/>
              <w:ind w:left="-9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17621,2</w:t>
            </w:r>
          </w:p>
        </w:tc>
        <w:tc>
          <w:tcPr>
            <w:tcW w:w="1134"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11217,1</w:t>
            </w:r>
          </w:p>
        </w:tc>
        <w:tc>
          <w:tcPr>
            <w:tcW w:w="1559"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6404,1</w:t>
            </w:r>
          </w:p>
        </w:tc>
      </w:tr>
      <w:tr w:rsidR="00E0567D" w:rsidRPr="00331DC2" w:rsidTr="00E0567D">
        <w:trPr>
          <w:trHeight w:val="300"/>
        </w:trPr>
        <w:tc>
          <w:tcPr>
            <w:tcW w:w="724"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4.</w:t>
            </w:r>
          </w:p>
        </w:tc>
        <w:tc>
          <w:tcPr>
            <w:tcW w:w="4261"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Тепловая энергия</w:t>
            </w:r>
          </w:p>
        </w:tc>
        <w:tc>
          <w:tcPr>
            <w:tcW w:w="84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2" w:type="dxa"/>
            <w:tcBorders>
              <w:top w:val="single" w:sz="4" w:space="0" w:color="auto"/>
              <w:bottom w:val="single" w:sz="4" w:space="0" w:color="auto"/>
              <w:right w:val="single" w:sz="4" w:space="0" w:color="auto"/>
            </w:tcBorders>
          </w:tcPr>
          <w:p w:rsidR="00E0567D" w:rsidRPr="00331DC2" w:rsidRDefault="00E0567D" w:rsidP="00E0567D">
            <w:pPr>
              <w:spacing w:line="240" w:lineRule="atLeast"/>
              <w:ind w:left="-9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3200,8</w:t>
            </w:r>
          </w:p>
        </w:tc>
        <w:tc>
          <w:tcPr>
            <w:tcW w:w="1134"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2037,5</w:t>
            </w:r>
          </w:p>
        </w:tc>
        <w:tc>
          <w:tcPr>
            <w:tcW w:w="1559"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1163,3</w:t>
            </w:r>
          </w:p>
        </w:tc>
      </w:tr>
      <w:tr w:rsidR="00E0567D" w:rsidRPr="00331DC2" w:rsidTr="00E0567D">
        <w:trPr>
          <w:trHeight w:val="300"/>
        </w:trPr>
        <w:tc>
          <w:tcPr>
            <w:tcW w:w="724"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5.</w:t>
            </w:r>
          </w:p>
        </w:tc>
        <w:tc>
          <w:tcPr>
            <w:tcW w:w="4261"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Вода</w:t>
            </w:r>
          </w:p>
        </w:tc>
        <w:tc>
          <w:tcPr>
            <w:tcW w:w="84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2" w:type="dxa"/>
            <w:tcBorders>
              <w:top w:val="single" w:sz="4" w:space="0" w:color="auto"/>
              <w:bottom w:val="single" w:sz="4" w:space="0" w:color="auto"/>
              <w:right w:val="single" w:sz="4" w:space="0" w:color="auto"/>
            </w:tcBorders>
          </w:tcPr>
          <w:p w:rsidR="00E0567D" w:rsidRPr="00331DC2" w:rsidRDefault="00E0567D" w:rsidP="00E0567D">
            <w:pPr>
              <w:spacing w:line="240" w:lineRule="atLeast"/>
              <w:ind w:left="-9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476,5</w:t>
            </w:r>
          </w:p>
        </w:tc>
        <w:tc>
          <w:tcPr>
            <w:tcW w:w="1134"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303,3</w:t>
            </w:r>
          </w:p>
        </w:tc>
        <w:tc>
          <w:tcPr>
            <w:tcW w:w="1559"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173,2</w:t>
            </w:r>
          </w:p>
        </w:tc>
      </w:tr>
      <w:tr w:rsidR="00E0567D" w:rsidRPr="00331DC2" w:rsidTr="00E0567D">
        <w:trPr>
          <w:trHeight w:val="300"/>
        </w:trPr>
        <w:tc>
          <w:tcPr>
            <w:tcW w:w="724"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6.</w:t>
            </w:r>
          </w:p>
        </w:tc>
        <w:tc>
          <w:tcPr>
            <w:tcW w:w="4261"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Затраты на оплату труда</w:t>
            </w:r>
          </w:p>
        </w:tc>
        <w:tc>
          <w:tcPr>
            <w:tcW w:w="84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2" w:type="dxa"/>
            <w:tcBorders>
              <w:top w:val="single" w:sz="4" w:space="0" w:color="auto"/>
              <w:bottom w:val="single" w:sz="4" w:space="0" w:color="auto"/>
              <w:right w:val="single" w:sz="4" w:space="0" w:color="auto"/>
            </w:tcBorders>
          </w:tcPr>
          <w:p w:rsidR="00E0567D" w:rsidRPr="00331DC2" w:rsidRDefault="00E0567D" w:rsidP="00E0567D">
            <w:pPr>
              <w:spacing w:line="240" w:lineRule="atLeast"/>
              <w:ind w:left="-93"/>
              <w:contextualSpacing/>
              <w:jc w:val="both"/>
              <w:rPr>
                <w:rFonts w:ascii="Times New Roman" w:hAnsi="Times New Roman" w:cs="Times New Roman"/>
                <w:b/>
                <w:bCs/>
                <w:sz w:val="24"/>
                <w:szCs w:val="24"/>
                <w:highlight w:val="yellow"/>
              </w:rPr>
            </w:pPr>
            <w:r w:rsidRPr="00331DC2">
              <w:rPr>
                <w:rFonts w:ascii="Times New Roman" w:hAnsi="Times New Roman" w:cs="Times New Roman"/>
                <w:b/>
                <w:bCs/>
                <w:sz w:val="24"/>
                <w:szCs w:val="24"/>
                <w:highlight w:val="yellow"/>
              </w:rPr>
              <w:t>120222,9</w:t>
            </w:r>
          </w:p>
        </w:tc>
        <w:tc>
          <w:tcPr>
            <w:tcW w:w="1134"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highlight w:val="yellow"/>
              </w:rPr>
            </w:pPr>
            <w:r w:rsidRPr="00331DC2">
              <w:rPr>
                <w:rFonts w:ascii="Times New Roman" w:hAnsi="Times New Roman" w:cs="Times New Roman"/>
                <w:sz w:val="24"/>
                <w:szCs w:val="24"/>
                <w:highlight w:val="yellow"/>
              </w:rPr>
              <w:t>74553,5</w:t>
            </w:r>
          </w:p>
        </w:tc>
        <w:tc>
          <w:tcPr>
            <w:tcW w:w="1559"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highlight w:val="yellow"/>
              </w:rPr>
            </w:pPr>
            <w:r w:rsidRPr="00331DC2">
              <w:rPr>
                <w:rFonts w:ascii="Times New Roman" w:hAnsi="Times New Roman" w:cs="Times New Roman"/>
                <w:sz w:val="24"/>
                <w:szCs w:val="24"/>
                <w:highlight w:val="yellow"/>
              </w:rPr>
              <w:t>45669,4</w:t>
            </w:r>
          </w:p>
        </w:tc>
      </w:tr>
      <w:tr w:rsidR="00E0567D" w:rsidRPr="00331DC2" w:rsidTr="00E0567D">
        <w:trPr>
          <w:trHeight w:val="300"/>
        </w:trPr>
        <w:tc>
          <w:tcPr>
            <w:tcW w:w="724"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7.</w:t>
            </w:r>
          </w:p>
        </w:tc>
        <w:tc>
          <w:tcPr>
            <w:tcW w:w="4261"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Отчисления на социальные нужды</w:t>
            </w:r>
          </w:p>
        </w:tc>
        <w:tc>
          <w:tcPr>
            <w:tcW w:w="84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2" w:type="dxa"/>
            <w:tcBorders>
              <w:top w:val="single" w:sz="4" w:space="0" w:color="auto"/>
              <w:bottom w:val="single" w:sz="4" w:space="0" w:color="auto"/>
              <w:right w:val="single" w:sz="4" w:space="0" w:color="auto"/>
            </w:tcBorders>
          </w:tcPr>
          <w:p w:rsidR="00E0567D" w:rsidRPr="00331DC2" w:rsidRDefault="00E0567D" w:rsidP="00E0567D">
            <w:pPr>
              <w:spacing w:line="240" w:lineRule="atLeast"/>
              <w:ind w:left="-93"/>
              <w:contextualSpacing/>
              <w:jc w:val="both"/>
              <w:rPr>
                <w:rFonts w:ascii="Times New Roman" w:hAnsi="Times New Roman" w:cs="Times New Roman"/>
                <w:b/>
                <w:bCs/>
                <w:sz w:val="24"/>
                <w:szCs w:val="24"/>
                <w:highlight w:val="yellow"/>
              </w:rPr>
            </w:pPr>
            <w:r w:rsidRPr="00331DC2">
              <w:rPr>
                <w:rFonts w:ascii="Times New Roman" w:hAnsi="Times New Roman" w:cs="Times New Roman"/>
                <w:b/>
                <w:bCs/>
                <w:sz w:val="24"/>
                <w:szCs w:val="24"/>
                <w:highlight w:val="yellow"/>
              </w:rPr>
              <w:t>40875,8</w:t>
            </w:r>
          </w:p>
        </w:tc>
        <w:tc>
          <w:tcPr>
            <w:tcW w:w="1134"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highlight w:val="yellow"/>
              </w:rPr>
            </w:pPr>
            <w:r w:rsidRPr="00331DC2">
              <w:rPr>
                <w:rFonts w:ascii="Times New Roman" w:hAnsi="Times New Roman" w:cs="Times New Roman"/>
                <w:sz w:val="24"/>
                <w:szCs w:val="24"/>
                <w:highlight w:val="yellow"/>
              </w:rPr>
              <w:t>25348,2</w:t>
            </w:r>
          </w:p>
        </w:tc>
        <w:tc>
          <w:tcPr>
            <w:tcW w:w="1559"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highlight w:val="yellow"/>
              </w:rPr>
            </w:pPr>
            <w:r w:rsidRPr="00331DC2">
              <w:rPr>
                <w:rFonts w:ascii="Times New Roman" w:hAnsi="Times New Roman" w:cs="Times New Roman"/>
                <w:sz w:val="24"/>
                <w:szCs w:val="24"/>
                <w:highlight w:val="yellow"/>
              </w:rPr>
              <w:t>15527,6</w:t>
            </w:r>
          </w:p>
        </w:tc>
      </w:tr>
      <w:tr w:rsidR="00E0567D" w:rsidRPr="00331DC2" w:rsidTr="00E0567D">
        <w:trPr>
          <w:trHeight w:val="300"/>
        </w:trPr>
        <w:tc>
          <w:tcPr>
            <w:tcW w:w="724"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8.</w:t>
            </w:r>
          </w:p>
        </w:tc>
        <w:tc>
          <w:tcPr>
            <w:tcW w:w="4261"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Амортизация ОФ</w:t>
            </w:r>
          </w:p>
        </w:tc>
        <w:tc>
          <w:tcPr>
            <w:tcW w:w="84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2" w:type="dxa"/>
            <w:tcBorders>
              <w:top w:val="single" w:sz="4" w:space="0" w:color="auto"/>
              <w:bottom w:val="single" w:sz="4" w:space="0" w:color="auto"/>
              <w:right w:val="single" w:sz="4" w:space="0" w:color="auto"/>
            </w:tcBorders>
          </w:tcPr>
          <w:p w:rsidR="00E0567D" w:rsidRPr="00331DC2" w:rsidRDefault="00E0567D" w:rsidP="00E0567D">
            <w:pPr>
              <w:spacing w:line="240" w:lineRule="atLeast"/>
              <w:ind w:left="-9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27196,3</w:t>
            </w:r>
          </w:p>
        </w:tc>
        <w:tc>
          <w:tcPr>
            <w:tcW w:w="1134"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17312,3</w:t>
            </w:r>
          </w:p>
        </w:tc>
        <w:tc>
          <w:tcPr>
            <w:tcW w:w="1559"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9884</w:t>
            </w:r>
          </w:p>
        </w:tc>
      </w:tr>
      <w:tr w:rsidR="00E0567D" w:rsidRPr="00331DC2" w:rsidTr="00E0567D">
        <w:trPr>
          <w:trHeight w:val="300"/>
        </w:trPr>
        <w:tc>
          <w:tcPr>
            <w:tcW w:w="724"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9.</w:t>
            </w:r>
          </w:p>
        </w:tc>
        <w:tc>
          <w:tcPr>
            <w:tcW w:w="4261"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Арендная плата</w:t>
            </w:r>
          </w:p>
        </w:tc>
        <w:tc>
          <w:tcPr>
            <w:tcW w:w="84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2" w:type="dxa"/>
            <w:tcBorders>
              <w:top w:val="single" w:sz="4" w:space="0" w:color="auto"/>
              <w:bottom w:val="single" w:sz="4" w:space="0" w:color="auto"/>
              <w:right w:val="single" w:sz="4" w:space="0" w:color="auto"/>
            </w:tcBorders>
          </w:tcPr>
          <w:p w:rsidR="00E0567D" w:rsidRPr="00331DC2" w:rsidRDefault="00E0567D" w:rsidP="00E0567D">
            <w:pPr>
              <w:spacing w:line="240" w:lineRule="atLeast"/>
              <w:ind w:left="-9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16173,1</w:t>
            </w:r>
          </w:p>
        </w:tc>
        <w:tc>
          <w:tcPr>
            <w:tcW w:w="1134"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10295,3</w:t>
            </w:r>
          </w:p>
        </w:tc>
        <w:tc>
          <w:tcPr>
            <w:tcW w:w="1559"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5877,8</w:t>
            </w:r>
          </w:p>
        </w:tc>
      </w:tr>
      <w:tr w:rsidR="00E0567D" w:rsidRPr="00331DC2" w:rsidTr="00E0567D">
        <w:trPr>
          <w:trHeight w:val="300"/>
        </w:trPr>
        <w:tc>
          <w:tcPr>
            <w:tcW w:w="724"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10.</w:t>
            </w:r>
          </w:p>
        </w:tc>
        <w:tc>
          <w:tcPr>
            <w:tcW w:w="4261"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Обязательные страховые платежи от несчаст.случая</w:t>
            </w:r>
          </w:p>
        </w:tc>
        <w:tc>
          <w:tcPr>
            <w:tcW w:w="84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2" w:type="dxa"/>
            <w:tcBorders>
              <w:top w:val="single" w:sz="4" w:space="0" w:color="auto"/>
              <w:bottom w:val="single" w:sz="4" w:space="0" w:color="auto"/>
              <w:right w:val="single" w:sz="4" w:space="0" w:color="auto"/>
            </w:tcBorders>
          </w:tcPr>
          <w:p w:rsidR="00E0567D" w:rsidRPr="00331DC2" w:rsidRDefault="00E0567D" w:rsidP="00E0567D">
            <w:pPr>
              <w:spacing w:line="240" w:lineRule="atLeast"/>
              <w:ind w:left="-93"/>
              <w:contextualSpacing/>
              <w:jc w:val="both"/>
              <w:rPr>
                <w:rFonts w:ascii="Times New Roman" w:hAnsi="Times New Roman" w:cs="Times New Roman"/>
                <w:b/>
                <w:bCs/>
                <w:sz w:val="24"/>
                <w:szCs w:val="24"/>
                <w:highlight w:val="yellow"/>
              </w:rPr>
            </w:pPr>
            <w:r w:rsidRPr="00331DC2">
              <w:rPr>
                <w:rFonts w:ascii="Times New Roman" w:hAnsi="Times New Roman" w:cs="Times New Roman"/>
                <w:b/>
                <w:bCs/>
                <w:sz w:val="24"/>
                <w:szCs w:val="24"/>
                <w:highlight w:val="yellow"/>
              </w:rPr>
              <w:t>360,7</w:t>
            </w:r>
          </w:p>
        </w:tc>
        <w:tc>
          <w:tcPr>
            <w:tcW w:w="1134"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highlight w:val="yellow"/>
              </w:rPr>
            </w:pPr>
            <w:r w:rsidRPr="00331DC2">
              <w:rPr>
                <w:rFonts w:ascii="Times New Roman" w:hAnsi="Times New Roman" w:cs="Times New Roman"/>
                <w:sz w:val="24"/>
                <w:szCs w:val="24"/>
                <w:highlight w:val="yellow"/>
              </w:rPr>
              <w:t>223,7</w:t>
            </w:r>
          </w:p>
        </w:tc>
        <w:tc>
          <w:tcPr>
            <w:tcW w:w="1559"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highlight w:val="yellow"/>
              </w:rPr>
            </w:pPr>
            <w:r w:rsidRPr="00331DC2">
              <w:rPr>
                <w:rFonts w:ascii="Times New Roman" w:hAnsi="Times New Roman" w:cs="Times New Roman"/>
                <w:sz w:val="24"/>
                <w:szCs w:val="24"/>
                <w:highlight w:val="yellow"/>
              </w:rPr>
              <w:t>137</w:t>
            </w:r>
          </w:p>
        </w:tc>
      </w:tr>
      <w:tr w:rsidR="00E0567D" w:rsidRPr="00331DC2" w:rsidTr="00E0567D">
        <w:trPr>
          <w:trHeight w:val="300"/>
        </w:trPr>
        <w:tc>
          <w:tcPr>
            <w:tcW w:w="724"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11.</w:t>
            </w:r>
          </w:p>
        </w:tc>
        <w:tc>
          <w:tcPr>
            <w:tcW w:w="4261"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Добровольные страховые платежи</w:t>
            </w:r>
          </w:p>
        </w:tc>
        <w:tc>
          <w:tcPr>
            <w:tcW w:w="84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2" w:type="dxa"/>
            <w:tcBorders>
              <w:top w:val="single" w:sz="4" w:space="0" w:color="auto"/>
              <w:bottom w:val="single" w:sz="4" w:space="0" w:color="auto"/>
              <w:right w:val="single" w:sz="4" w:space="0" w:color="auto"/>
            </w:tcBorders>
          </w:tcPr>
          <w:p w:rsidR="00E0567D" w:rsidRPr="00331DC2" w:rsidRDefault="00E0567D" w:rsidP="00E0567D">
            <w:pPr>
              <w:spacing w:line="240" w:lineRule="atLeast"/>
              <w:ind w:left="-9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52</w:t>
            </w:r>
          </w:p>
        </w:tc>
        <w:tc>
          <w:tcPr>
            <w:tcW w:w="1134"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33,1</w:t>
            </w:r>
          </w:p>
        </w:tc>
        <w:tc>
          <w:tcPr>
            <w:tcW w:w="1559"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18,9</w:t>
            </w:r>
          </w:p>
        </w:tc>
      </w:tr>
      <w:tr w:rsidR="00E0567D" w:rsidRPr="00331DC2" w:rsidTr="00E0567D">
        <w:trPr>
          <w:trHeight w:val="300"/>
        </w:trPr>
        <w:tc>
          <w:tcPr>
            <w:tcW w:w="724"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12.</w:t>
            </w:r>
          </w:p>
        </w:tc>
        <w:tc>
          <w:tcPr>
            <w:tcW w:w="4261"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Представительские расходы</w:t>
            </w:r>
          </w:p>
        </w:tc>
        <w:tc>
          <w:tcPr>
            <w:tcW w:w="84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2" w:type="dxa"/>
            <w:tcBorders>
              <w:top w:val="single" w:sz="4" w:space="0" w:color="auto"/>
              <w:bottom w:val="single" w:sz="4" w:space="0" w:color="auto"/>
              <w:right w:val="single" w:sz="4" w:space="0" w:color="auto"/>
            </w:tcBorders>
          </w:tcPr>
          <w:p w:rsidR="00E0567D" w:rsidRPr="00331DC2" w:rsidRDefault="00E0567D" w:rsidP="00E0567D">
            <w:pPr>
              <w:spacing w:line="240" w:lineRule="atLeast"/>
              <w:ind w:left="-9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3,8</w:t>
            </w:r>
          </w:p>
        </w:tc>
        <w:tc>
          <w:tcPr>
            <w:tcW w:w="1559"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2,2</w:t>
            </w:r>
          </w:p>
        </w:tc>
      </w:tr>
      <w:tr w:rsidR="00E0567D" w:rsidRPr="00331DC2" w:rsidTr="00E0567D">
        <w:trPr>
          <w:trHeight w:val="300"/>
        </w:trPr>
        <w:tc>
          <w:tcPr>
            <w:tcW w:w="724"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13.</w:t>
            </w:r>
          </w:p>
        </w:tc>
        <w:tc>
          <w:tcPr>
            <w:tcW w:w="4261"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Суточные и подъёмные</w:t>
            </w:r>
          </w:p>
        </w:tc>
        <w:tc>
          <w:tcPr>
            <w:tcW w:w="84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2" w:type="dxa"/>
            <w:tcBorders>
              <w:top w:val="single" w:sz="4" w:space="0" w:color="auto"/>
              <w:bottom w:val="single" w:sz="4" w:space="0" w:color="auto"/>
              <w:right w:val="single" w:sz="4" w:space="0" w:color="auto"/>
            </w:tcBorders>
          </w:tcPr>
          <w:p w:rsidR="00E0567D" w:rsidRPr="00331DC2" w:rsidRDefault="00E0567D" w:rsidP="00E0567D">
            <w:pPr>
              <w:spacing w:line="240" w:lineRule="atLeast"/>
              <w:ind w:left="-9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507,2</w:t>
            </w:r>
          </w:p>
        </w:tc>
        <w:tc>
          <w:tcPr>
            <w:tcW w:w="1134"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322,9</w:t>
            </w:r>
          </w:p>
        </w:tc>
        <w:tc>
          <w:tcPr>
            <w:tcW w:w="1559"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184,3</w:t>
            </w:r>
          </w:p>
        </w:tc>
      </w:tr>
      <w:tr w:rsidR="00E0567D" w:rsidRPr="00331DC2" w:rsidTr="00E0567D">
        <w:trPr>
          <w:trHeight w:val="300"/>
        </w:trPr>
        <w:tc>
          <w:tcPr>
            <w:tcW w:w="724" w:type="dxa"/>
            <w:tcBorders>
              <w:top w:val="single" w:sz="4" w:space="0" w:color="auto"/>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14.</w:t>
            </w:r>
          </w:p>
        </w:tc>
        <w:tc>
          <w:tcPr>
            <w:tcW w:w="4261" w:type="dxa"/>
            <w:tcBorders>
              <w:top w:val="single" w:sz="4" w:space="0" w:color="auto"/>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Налоги, включаемые в себестоимость продукт</w:t>
            </w:r>
          </w:p>
        </w:tc>
        <w:tc>
          <w:tcPr>
            <w:tcW w:w="84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2" w:type="dxa"/>
            <w:tcBorders>
              <w:top w:val="single" w:sz="4" w:space="0" w:color="auto"/>
              <w:bottom w:val="single" w:sz="4" w:space="0" w:color="auto"/>
              <w:right w:val="single" w:sz="4" w:space="0" w:color="auto"/>
            </w:tcBorders>
          </w:tcPr>
          <w:p w:rsidR="00E0567D" w:rsidRPr="00331DC2" w:rsidRDefault="00E0567D" w:rsidP="00E0567D">
            <w:pPr>
              <w:spacing w:line="240" w:lineRule="atLeast"/>
              <w:ind w:left="-9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3648,6</w:t>
            </w:r>
          </w:p>
        </w:tc>
        <w:tc>
          <w:tcPr>
            <w:tcW w:w="1134"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2322,6</w:t>
            </w:r>
          </w:p>
        </w:tc>
        <w:tc>
          <w:tcPr>
            <w:tcW w:w="1559"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1326</w:t>
            </w:r>
          </w:p>
        </w:tc>
      </w:tr>
      <w:tr w:rsidR="00E0567D" w:rsidRPr="00331DC2" w:rsidTr="00E0567D">
        <w:trPr>
          <w:trHeight w:val="300"/>
        </w:trPr>
        <w:tc>
          <w:tcPr>
            <w:tcW w:w="724" w:type="dxa"/>
            <w:tcBorders>
              <w:top w:val="single" w:sz="4" w:space="0" w:color="auto"/>
              <w:left w:val="single" w:sz="4" w:space="0" w:color="auto"/>
              <w:bottom w:val="single" w:sz="4" w:space="0" w:color="auto"/>
              <w:right w:val="single" w:sz="4" w:space="0" w:color="auto"/>
            </w:tcBorders>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 xml:space="preserve">14.1. </w:t>
            </w:r>
          </w:p>
        </w:tc>
        <w:tc>
          <w:tcPr>
            <w:tcW w:w="4261" w:type="dxa"/>
            <w:tcBorders>
              <w:top w:val="single" w:sz="4" w:space="0" w:color="auto"/>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в т.ч. земельный налог</w:t>
            </w:r>
          </w:p>
        </w:tc>
        <w:tc>
          <w:tcPr>
            <w:tcW w:w="84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2" w:type="dxa"/>
            <w:tcBorders>
              <w:top w:val="single" w:sz="4" w:space="0" w:color="auto"/>
              <w:bottom w:val="single" w:sz="4" w:space="0" w:color="auto"/>
              <w:right w:val="single" w:sz="4" w:space="0" w:color="auto"/>
            </w:tcBorders>
          </w:tcPr>
          <w:p w:rsidR="00E0567D" w:rsidRPr="00331DC2" w:rsidRDefault="00E0567D" w:rsidP="00E0567D">
            <w:pPr>
              <w:spacing w:line="240" w:lineRule="atLeast"/>
              <w:ind w:left="-9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2300,9</w:t>
            </w:r>
          </w:p>
        </w:tc>
        <w:tc>
          <w:tcPr>
            <w:tcW w:w="1134"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1464,7</w:t>
            </w:r>
          </w:p>
        </w:tc>
        <w:tc>
          <w:tcPr>
            <w:tcW w:w="1559"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836,2</w:t>
            </w:r>
          </w:p>
        </w:tc>
      </w:tr>
      <w:tr w:rsidR="00E0567D" w:rsidRPr="00331DC2" w:rsidTr="00E0567D">
        <w:trPr>
          <w:trHeight w:val="300"/>
        </w:trPr>
        <w:tc>
          <w:tcPr>
            <w:tcW w:w="724" w:type="dxa"/>
            <w:tcBorders>
              <w:top w:val="single" w:sz="4" w:space="0" w:color="auto"/>
              <w:left w:val="single" w:sz="4" w:space="0" w:color="auto"/>
              <w:bottom w:val="single" w:sz="4" w:space="0" w:color="auto"/>
              <w:right w:val="single" w:sz="4" w:space="0" w:color="auto"/>
            </w:tcBorders>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14.2.</w:t>
            </w:r>
          </w:p>
        </w:tc>
        <w:tc>
          <w:tcPr>
            <w:tcW w:w="4261" w:type="dxa"/>
            <w:tcBorders>
              <w:top w:val="single" w:sz="4" w:space="0" w:color="auto"/>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плата за выбросы (экология, сбор)</w:t>
            </w:r>
          </w:p>
        </w:tc>
        <w:tc>
          <w:tcPr>
            <w:tcW w:w="84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2" w:type="dxa"/>
            <w:tcBorders>
              <w:top w:val="single" w:sz="4" w:space="0" w:color="auto"/>
              <w:bottom w:val="single" w:sz="4" w:space="0" w:color="auto"/>
              <w:right w:val="single" w:sz="4" w:space="0" w:color="auto"/>
            </w:tcBorders>
          </w:tcPr>
          <w:p w:rsidR="00E0567D" w:rsidRPr="00331DC2" w:rsidRDefault="00E0567D" w:rsidP="00E0567D">
            <w:pPr>
              <w:spacing w:line="240" w:lineRule="atLeast"/>
              <w:ind w:left="-9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868,4</w:t>
            </w:r>
          </w:p>
        </w:tc>
        <w:tc>
          <w:tcPr>
            <w:tcW w:w="1134"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552,8</w:t>
            </w:r>
          </w:p>
        </w:tc>
        <w:tc>
          <w:tcPr>
            <w:tcW w:w="1559"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315,6</w:t>
            </w:r>
          </w:p>
        </w:tc>
      </w:tr>
      <w:tr w:rsidR="00E0567D" w:rsidRPr="00331DC2" w:rsidTr="00E0567D">
        <w:trPr>
          <w:trHeight w:val="345"/>
        </w:trPr>
        <w:tc>
          <w:tcPr>
            <w:tcW w:w="724" w:type="dxa"/>
            <w:tcBorders>
              <w:top w:val="single" w:sz="4" w:space="0" w:color="auto"/>
              <w:left w:val="single" w:sz="4" w:space="0" w:color="auto"/>
              <w:bottom w:val="single" w:sz="4" w:space="0" w:color="auto"/>
              <w:right w:val="single" w:sz="4" w:space="0" w:color="auto"/>
            </w:tcBorders>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 xml:space="preserve"> 14.3.</w:t>
            </w:r>
          </w:p>
        </w:tc>
        <w:tc>
          <w:tcPr>
            <w:tcW w:w="4261" w:type="dxa"/>
            <w:tcBorders>
              <w:top w:val="single" w:sz="4" w:space="0" w:color="auto"/>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плата за польз. водными объектами</w:t>
            </w:r>
          </w:p>
        </w:tc>
        <w:tc>
          <w:tcPr>
            <w:tcW w:w="84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2" w:type="dxa"/>
            <w:tcBorders>
              <w:top w:val="single" w:sz="4" w:space="0" w:color="auto"/>
              <w:bottom w:val="single" w:sz="4" w:space="0" w:color="auto"/>
              <w:right w:val="single" w:sz="4" w:space="0" w:color="auto"/>
            </w:tcBorders>
          </w:tcPr>
          <w:p w:rsidR="00E0567D" w:rsidRPr="00331DC2" w:rsidRDefault="00E0567D" w:rsidP="00E0567D">
            <w:pPr>
              <w:spacing w:line="240" w:lineRule="atLeast"/>
              <w:ind w:left="-9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17,6</w:t>
            </w:r>
          </w:p>
        </w:tc>
        <w:tc>
          <w:tcPr>
            <w:tcW w:w="1134"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11,2</w:t>
            </w:r>
          </w:p>
        </w:tc>
        <w:tc>
          <w:tcPr>
            <w:tcW w:w="1559"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6,4</w:t>
            </w:r>
          </w:p>
        </w:tc>
      </w:tr>
      <w:tr w:rsidR="00E0567D" w:rsidRPr="00331DC2" w:rsidTr="00E0567D">
        <w:trPr>
          <w:trHeight w:val="300"/>
        </w:trPr>
        <w:tc>
          <w:tcPr>
            <w:tcW w:w="724" w:type="dxa"/>
            <w:tcBorders>
              <w:top w:val="single" w:sz="4" w:space="0" w:color="auto"/>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14.4.</w:t>
            </w:r>
          </w:p>
        </w:tc>
        <w:tc>
          <w:tcPr>
            <w:tcW w:w="4261" w:type="dxa"/>
            <w:tcBorders>
              <w:top w:val="single" w:sz="4" w:space="0" w:color="auto"/>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налог с владельцев транспортных средств</w:t>
            </w:r>
          </w:p>
        </w:tc>
        <w:tc>
          <w:tcPr>
            <w:tcW w:w="84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2" w:type="dxa"/>
            <w:tcBorders>
              <w:top w:val="single" w:sz="4" w:space="0" w:color="auto"/>
              <w:bottom w:val="single" w:sz="4" w:space="0" w:color="auto"/>
              <w:right w:val="single" w:sz="4" w:space="0" w:color="auto"/>
            </w:tcBorders>
          </w:tcPr>
          <w:p w:rsidR="00E0567D" w:rsidRPr="00331DC2" w:rsidRDefault="00E0567D" w:rsidP="00E0567D">
            <w:pPr>
              <w:spacing w:line="240" w:lineRule="atLeast"/>
              <w:ind w:left="-9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461,7</w:t>
            </w:r>
          </w:p>
        </w:tc>
        <w:tc>
          <w:tcPr>
            <w:tcW w:w="1134"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293,9</w:t>
            </w:r>
          </w:p>
        </w:tc>
        <w:tc>
          <w:tcPr>
            <w:tcW w:w="1559"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167,8</w:t>
            </w:r>
          </w:p>
        </w:tc>
      </w:tr>
      <w:tr w:rsidR="00E0567D" w:rsidRPr="00331DC2" w:rsidTr="00E0567D">
        <w:trPr>
          <w:trHeight w:val="300"/>
        </w:trPr>
        <w:tc>
          <w:tcPr>
            <w:tcW w:w="724" w:type="dxa"/>
            <w:tcBorders>
              <w:top w:val="single" w:sz="4" w:space="0" w:color="auto"/>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15.</w:t>
            </w:r>
          </w:p>
        </w:tc>
        <w:tc>
          <w:tcPr>
            <w:tcW w:w="4261" w:type="dxa"/>
            <w:tcBorders>
              <w:top w:val="single" w:sz="4" w:space="0" w:color="auto"/>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Оплата услуг сторонних организаций</w:t>
            </w:r>
          </w:p>
        </w:tc>
        <w:tc>
          <w:tcPr>
            <w:tcW w:w="84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2" w:type="dxa"/>
            <w:tcBorders>
              <w:top w:val="single" w:sz="4" w:space="0" w:color="auto"/>
              <w:bottom w:val="single" w:sz="4" w:space="0" w:color="auto"/>
              <w:right w:val="single" w:sz="4" w:space="0" w:color="auto"/>
            </w:tcBorders>
          </w:tcPr>
          <w:p w:rsidR="00E0567D" w:rsidRPr="00331DC2" w:rsidRDefault="00E0567D" w:rsidP="00E0567D">
            <w:pPr>
              <w:spacing w:line="240" w:lineRule="atLeast"/>
              <w:ind w:left="-9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57948</w:t>
            </w:r>
          </w:p>
        </w:tc>
        <w:tc>
          <w:tcPr>
            <w:tcW w:w="1134"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36887,8</w:t>
            </w:r>
          </w:p>
        </w:tc>
        <w:tc>
          <w:tcPr>
            <w:tcW w:w="1559"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21060,2</w:t>
            </w:r>
          </w:p>
        </w:tc>
      </w:tr>
      <w:tr w:rsidR="00E0567D" w:rsidRPr="00331DC2" w:rsidTr="00E0567D">
        <w:trPr>
          <w:trHeight w:val="300"/>
        </w:trPr>
        <w:tc>
          <w:tcPr>
            <w:tcW w:w="724" w:type="dxa"/>
            <w:tcBorders>
              <w:top w:val="single" w:sz="4" w:space="0" w:color="auto"/>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15.1.</w:t>
            </w:r>
          </w:p>
        </w:tc>
        <w:tc>
          <w:tcPr>
            <w:tcW w:w="4261" w:type="dxa"/>
            <w:tcBorders>
              <w:top w:val="single" w:sz="4" w:space="0" w:color="auto"/>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в т.ч услуги по транспортировке грузов</w:t>
            </w:r>
          </w:p>
        </w:tc>
        <w:tc>
          <w:tcPr>
            <w:tcW w:w="84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2" w:type="dxa"/>
            <w:tcBorders>
              <w:top w:val="single" w:sz="4" w:space="0" w:color="auto"/>
              <w:bottom w:val="single" w:sz="4" w:space="0" w:color="auto"/>
              <w:right w:val="single" w:sz="4" w:space="0" w:color="auto"/>
            </w:tcBorders>
          </w:tcPr>
          <w:p w:rsidR="00E0567D" w:rsidRPr="00331DC2" w:rsidRDefault="00E0567D" w:rsidP="00E0567D">
            <w:pPr>
              <w:spacing w:line="240" w:lineRule="atLeast"/>
              <w:ind w:left="-9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2906,1</w:t>
            </w:r>
          </w:p>
        </w:tc>
        <w:tc>
          <w:tcPr>
            <w:tcW w:w="1134"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1849,9</w:t>
            </w:r>
          </w:p>
        </w:tc>
        <w:tc>
          <w:tcPr>
            <w:tcW w:w="1559"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1056,2</w:t>
            </w:r>
          </w:p>
        </w:tc>
      </w:tr>
      <w:tr w:rsidR="00E0567D" w:rsidRPr="00331DC2" w:rsidTr="00E0567D">
        <w:trPr>
          <w:trHeight w:val="300"/>
        </w:trPr>
        <w:tc>
          <w:tcPr>
            <w:tcW w:w="724" w:type="dxa"/>
            <w:tcBorders>
              <w:top w:val="single" w:sz="4" w:space="0" w:color="auto"/>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15.2.</w:t>
            </w:r>
          </w:p>
        </w:tc>
        <w:tc>
          <w:tcPr>
            <w:tcW w:w="4261" w:type="dxa"/>
            <w:tcBorders>
              <w:top w:val="single" w:sz="4" w:space="0" w:color="auto"/>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в т.ч. перевозка материалов (водный фрахт)</w:t>
            </w:r>
          </w:p>
        </w:tc>
        <w:tc>
          <w:tcPr>
            <w:tcW w:w="84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2" w:type="dxa"/>
            <w:tcBorders>
              <w:top w:val="single" w:sz="4" w:space="0" w:color="auto"/>
              <w:bottom w:val="single" w:sz="4" w:space="0" w:color="auto"/>
              <w:right w:val="single" w:sz="4" w:space="0" w:color="auto"/>
            </w:tcBorders>
          </w:tcPr>
          <w:p w:rsidR="00E0567D" w:rsidRPr="00331DC2" w:rsidRDefault="00E0567D" w:rsidP="00E0567D">
            <w:pPr>
              <w:spacing w:line="240" w:lineRule="atLeast"/>
              <w:ind w:left="-9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2906,1</w:t>
            </w:r>
          </w:p>
        </w:tc>
        <w:tc>
          <w:tcPr>
            <w:tcW w:w="1134"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1849,9</w:t>
            </w:r>
          </w:p>
        </w:tc>
        <w:tc>
          <w:tcPr>
            <w:tcW w:w="1559"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1056,2</w:t>
            </w:r>
          </w:p>
        </w:tc>
      </w:tr>
      <w:tr w:rsidR="00E0567D" w:rsidRPr="00331DC2" w:rsidTr="00E0567D">
        <w:trPr>
          <w:trHeight w:val="300"/>
        </w:trPr>
        <w:tc>
          <w:tcPr>
            <w:tcW w:w="724" w:type="dxa"/>
            <w:tcBorders>
              <w:top w:val="single" w:sz="4" w:space="0" w:color="auto"/>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15.3.</w:t>
            </w:r>
          </w:p>
        </w:tc>
        <w:tc>
          <w:tcPr>
            <w:tcW w:w="4261" w:type="dxa"/>
            <w:tcBorders>
              <w:top w:val="single" w:sz="4" w:space="0" w:color="auto"/>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Строительного характера (капитальный ремонт)</w:t>
            </w:r>
          </w:p>
        </w:tc>
        <w:tc>
          <w:tcPr>
            <w:tcW w:w="84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2" w:type="dxa"/>
            <w:tcBorders>
              <w:top w:val="single" w:sz="4" w:space="0" w:color="auto"/>
              <w:bottom w:val="single" w:sz="4" w:space="0" w:color="auto"/>
              <w:right w:val="single" w:sz="4" w:space="0" w:color="auto"/>
            </w:tcBorders>
          </w:tcPr>
          <w:p w:rsidR="00E0567D" w:rsidRPr="00331DC2" w:rsidRDefault="00E0567D" w:rsidP="00E0567D">
            <w:pPr>
              <w:spacing w:line="240" w:lineRule="atLeast"/>
              <w:ind w:left="-9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5494,8</w:t>
            </w:r>
          </w:p>
        </w:tc>
        <w:tc>
          <w:tcPr>
            <w:tcW w:w="1134"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3497,8</w:t>
            </w:r>
          </w:p>
        </w:tc>
        <w:tc>
          <w:tcPr>
            <w:tcW w:w="1559"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1997</w:t>
            </w:r>
          </w:p>
        </w:tc>
      </w:tr>
      <w:tr w:rsidR="00E0567D" w:rsidRPr="00331DC2" w:rsidTr="00E0567D">
        <w:trPr>
          <w:trHeight w:val="300"/>
        </w:trPr>
        <w:tc>
          <w:tcPr>
            <w:tcW w:w="724" w:type="dxa"/>
            <w:tcBorders>
              <w:top w:val="single" w:sz="4" w:space="0" w:color="auto"/>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15.4.</w:t>
            </w:r>
          </w:p>
        </w:tc>
        <w:tc>
          <w:tcPr>
            <w:tcW w:w="4261" w:type="dxa"/>
            <w:tcBorders>
              <w:top w:val="single" w:sz="4" w:space="0" w:color="auto"/>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Прочие услуги производственного характера</w:t>
            </w:r>
          </w:p>
        </w:tc>
        <w:tc>
          <w:tcPr>
            <w:tcW w:w="84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2" w:type="dxa"/>
            <w:tcBorders>
              <w:top w:val="single" w:sz="4" w:space="0" w:color="auto"/>
              <w:bottom w:val="single" w:sz="4" w:space="0" w:color="auto"/>
              <w:right w:val="single" w:sz="4" w:space="0" w:color="auto"/>
            </w:tcBorders>
          </w:tcPr>
          <w:p w:rsidR="00E0567D" w:rsidRPr="00331DC2" w:rsidRDefault="00E0567D" w:rsidP="00E0567D">
            <w:pPr>
              <w:spacing w:line="240" w:lineRule="atLeast"/>
              <w:ind w:left="-9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15675,3</w:t>
            </w:r>
          </w:p>
        </w:tc>
        <w:tc>
          <w:tcPr>
            <w:tcW w:w="1134"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9978,4</w:t>
            </w:r>
          </w:p>
        </w:tc>
        <w:tc>
          <w:tcPr>
            <w:tcW w:w="1559"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5696,9</w:t>
            </w:r>
          </w:p>
        </w:tc>
      </w:tr>
      <w:tr w:rsidR="00E0567D" w:rsidRPr="00331DC2" w:rsidTr="00E0567D">
        <w:trPr>
          <w:trHeight w:val="300"/>
        </w:trPr>
        <w:tc>
          <w:tcPr>
            <w:tcW w:w="724" w:type="dxa"/>
            <w:tcBorders>
              <w:top w:val="single" w:sz="4" w:space="0" w:color="auto"/>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15.5.</w:t>
            </w:r>
          </w:p>
        </w:tc>
        <w:tc>
          <w:tcPr>
            <w:tcW w:w="4261" w:type="dxa"/>
            <w:tcBorders>
              <w:top w:val="single" w:sz="4" w:space="0" w:color="auto"/>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Реклама</w:t>
            </w:r>
          </w:p>
        </w:tc>
        <w:tc>
          <w:tcPr>
            <w:tcW w:w="84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2" w:type="dxa"/>
            <w:tcBorders>
              <w:top w:val="single" w:sz="4" w:space="0" w:color="auto"/>
              <w:bottom w:val="single" w:sz="4" w:space="0" w:color="auto"/>
              <w:right w:val="single" w:sz="4" w:space="0" w:color="auto"/>
            </w:tcBorders>
          </w:tcPr>
          <w:p w:rsidR="00E0567D" w:rsidRPr="00331DC2" w:rsidRDefault="00E0567D" w:rsidP="00E0567D">
            <w:pPr>
              <w:spacing w:line="240" w:lineRule="atLeast"/>
              <w:ind w:left="-9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509,3</w:t>
            </w:r>
          </w:p>
        </w:tc>
        <w:tc>
          <w:tcPr>
            <w:tcW w:w="1134"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324,2</w:t>
            </w:r>
          </w:p>
        </w:tc>
        <w:tc>
          <w:tcPr>
            <w:tcW w:w="1559"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185,1</w:t>
            </w:r>
          </w:p>
        </w:tc>
      </w:tr>
      <w:tr w:rsidR="00E0567D" w:rsidRPr="00331DC2" w:rsidTr="00E0567D">
        <w:trPr>
          <w:trHeight w:val="300"/>
        </w:trPr>
        <w:tc>
          <w:tcPr>
            <w:tcW w:w="724" w:type="dxa"/>
            <w:tcBorders>
              <w:top w:val="single" w:sz="4" w:space="0" w:color="auto"/>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15.6.</w:t>
            </w:r>
          </w:p>
        </w:tc>
        <w:tc>
          <w:tcPr>
            <w:tcW w:w="4261" w:type="dxa"/>
            <w:tcBorders>
              <w:top w:val="single" w:sz="4" w:space="0" w:color="auto"/>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Вневедомственной и пожарной охраны</w:t>
            </w:r>
          </w:p>
        </w:tc>
        <w:tc>
          <w:tcPr>
            <w:tcW w:w="84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2" w:type="dxa"/>
            <w:tcBorders>
              <w:top w:val="single" w:sz="4" w:space="0" w:color="auto"/>
              <w:bottom w:val="single" w:sz="4" w:space="0" w:color="auto"/>
              <w:right w:val="single" w:sz="4" w:space="0" w:color="auto"/>
            </w:tcBorders>
          </w:tcPr>
          <w:p w:rsidR="00E0567D" w:rsidRPr="00331DC2" w:rsidRDefault="00E0567D" w:rsidP="00E0567D">
            <w:pPr>
              <w:spacing w:line="240" w:lineRule="atLeast"/>
              <w:ind w:left="-9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23855,4</w:t>
            </w:r>
          </w:p>
        </w:tc>
        <w:tc>
          <w:tcPr>
            <w:tcW w:w="1134"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15185,6</w:t>
            </w:r>
          </w:p>
        </w:tc>
        <w:tc>
          <w:tcPr>
            <w:tcW w:w="1559"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8669,8</w:t>
            </w:r>
          </w:p>
        </w:tc>
      </w:tr>
      <w:tr w:rsidR="00E0567D" w:rsidRPr="00331DC2" w:rsidTr="00E0567D">
        <w:trPr>
          <w:trHeight w:val="300"/>
        </w:trPr>
        <w:tc>
          <w:tcPr>
            <w:tcW w:w="724" w:type="dxa"/>
            <w:tcBorders>
              <w:top w:val="single" w:sz="4" w:space="0" w:color="auto"/>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15.7.</w:t>
            </w:r>
          </w:p>
        </w:tc>
        <w:tc>
          <w:tcPr>
            <w:tcW w:w="4261" w:type="dxa"/>
            <w:tcBorders>
              <w:top w:val="single" w:sz="4" w:space="0" w:color="auto"/>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Гидрометеослужбы</w:t>
            </w:r>
          </w:p>
        </w:tc>
        <w:tc>
          <w:tcPr>
            <w:tcW w:w="84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2" w:type="dxa"/>
            <w:tcBorders>
              <w:top w:val="single" w:sz="4" w:space="0" w:color="auto"/>
              <w:bottom w:val="single" w:sz="4" w:space="0" w:color="auto"/>
              <w:right w:val="single" w:sz="4" w:space="0" w:color="auto"/>
            </w:tcBorders>
          </w:tcPr>
          <w:p w:rsidR="00E0567D" w:rsidRPr="00331DC2" w:rsidRDefault="00E0567D" w:rsidP="00E0567D">
            <w:pPr>
              <w:spacing w:line="240" w:lineRule="atLeast"/>
              <w:ind w:left="-9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48,4</w:t>
            </w:r>
          </w:p>
        </w:tc>
        <w:tc>
          <w:tcPr>
            <w:tcW w:w="1134"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30,8</w:t>
            </w:r>
          </w:p>
        </w:tc>
        <w:tc>
          <w:tcPr>
            <w:tcW w:w="1559"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17,6</w:t>
            </w:r>
          </w:p>
        </w:tc>
      </w:tr>
      <w:tr w:rsidR="00E0567D" w:rsidRPr="00331DC2" w:rsidTr="00E0567D">
        <w:trPr>
          <w:trHeight w:val="300"/>
        </w:trPr>
        <w:tc>
          <w:tcPr>
            <w:tcW w:w="724" w:type="dxa"/>
            <w:tcBorders>
              <w:top w:val="single" w:sz="4" w:space="0" w:color="auto"/>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15.8.</w:t>
            </w:r>
          </w:p>
        </w:tc>
        <w:tc>
          <w:tcPr>
            <w:tcW w:w="4261" w:type="dxa"/>
            <w:tcBorders>
              <w:top w:val="single" w:sz="4" w:space="0" w:color="auto"/>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Здравоохранения</w:t>
            </w:r>
          </w:p>
        </w:tc>
        <w:tc>
          <w:tcPr>
            <w:tcW w:w="84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2" w:type="dxa"/>
            <w:tcBorders>
              <w:top w:val="single" w:sz="4" w:space="0" w:color="auto"/>
              <w:bottom w:val="single" w:sz="4" w:space="0" w:color="auto"/>
              <w:right w:val="single" w:sz="4" w:space="0" w:color="auto"/>
            </w:tcBorders>
          </w:tcPr>
          <w:p w:rsidR="00E0567D" w:rsidRPr="00331DC2" w:rsidRDefault="00E0567D" w:rsidP="00E0567D">
            <w:pPr>
              <w:spacing w:line="240" w:lineRule="atLeast"/>
              <w:ind w:left="-9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97,7</w:t>
            </w:r>
          </w:p>
        </w:tc>
        <w:tc>
          <w:tcPr>
            <w:tcW w:w="1134"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62,2</w:t>
            </w:r>
          </w:p>
        </w:tc>
        <w:tc>
          <w:tcPr>
            <w:tcW w:w="1559"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35,5</w:t>
            </w:r>
          </w:p>
        </w:tc>
      </w:tr>
      <w:tr w:rsidR="00E0567D" w:rsidRPr="00331DC2" w:rsidTr="00E0567D">
        <w:trPr>
          <w:trHeight w:val="300"/>
        </w:trPr>
        <w:tc>
          <w:tcPr>
            <w:tcW w:w="724"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15.9.</w:t>
            </w:r>
          </w:p>
        </w:tc>
        <w:tc>
          <w:tcPr>
            <w:tcW w:w="4261"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 xml:space="preserve">Информационно-вычислительное </w:t>
            </w:r>
            <w:r w:rsidRPr="00331DC2">
              <w:rPr>
                <w:rFonts w:ascii="Times New Roman" w:hAnsi="Times New Roman" w:cs="Times New Roman"/>
                <w:sz w:val="24"/>
                <w:szCs w:val="24"/>
              </w:rPr>
              <w:lastRenderedPageBreak/>
              <w:t>обслуживание</w:t>
            </w:r>
          </w:p>
        </w:tc>
        <w:tc>
          <w:tcPr>
            <w:tcW w:w="84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lastRenderedPageBreak/>
              <w:t>тыс.руб</w:t>
            </w:r>
            <w:r w:rsidRPr="00331DC2">
              <w:rPr>
                <w:rFonts w:ascii="Times New Roman" w:hAnsi="Times New Roman" w:cs="Times New Roman"/>
                <w:sz w:val="24"/>
                <w:szCs w:val="24"/>
              </w:rPr>
              <w:lastRenderedPageBreak/>
              <w:t>.</w:t>
            </w:r>
          </w:p>
        </w:tc>
        <w:tc>
          <w:tcPr>
            <w:tcW w:w="992" w:type="dxa"/>
            <w:tcBorders>
              <w:top w:val="single" w:sz="4" w:space="0" w:color="auto"/>
              <w:bottom w:val="single" w:sz="4" w:space="0" w:color="auto"/>
              <w:right w:val="single" w:sz="4" w:space="0" w:color="auto"/>
            </w:tcBorders>
          </w:tcPr>
          <w:p w:rsidR="00E0567D" w:rsidRPr="00331DC2" w:rsidRDefault="00E0567D" w:rsidP="00E0567D">
            <w:pPr>
              <w:spacing w:line="240" w:lineRule="atLeast"/>
              <w:ind w:left="-9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lastRenderedPageBreak/>
              <w:t>1139,7</w:t>
            </w:r>
          </w:p>
        </w:tc>
        <w:tc>
          <w:tcPr>
            <w:tcW w:w="1134"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725,5</w:t>
            </w:r>
          </w:p>
        </w:tc>
        <w:tc>
          <w:tcPr>
            <w:tcW w:w="1559"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414,2</w:t>
            </w:r>
          </w:p>
        </w:tc>
      </w:tr>
      <w:tr w:rsidR="00E0567D" w:rsidRPr="00331DC2" w:rsidTr="00E0567D">
        <w:trPr>
          <w:trHeight w:val="300"/>
        </w:trPr>
        <w:tc>
          <w:tcPr>
            <w:tcW w:w="724"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lastRenderedPageBreak/>
              <w:t>15.10.</w:t>
            </w:r>
          </w:p>
        </w:tc>
        <w:tc>
          <w:tcPr>
            <w:tcW w:w="4261"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Проживание в гостинице(команд)</w:t>
            </w:r>
          </w:p>
        </w:tc>
        <w:tc>
          <w:tcPr>
            <w:tcW w:w="84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2" w:type="dxa"/>
            <w:tcBorders>
              <w:top w:val="single" w:sz="4" w:space="0" w:color="auto"/>
              <w:bottom w:val="single" w:sz="4" w:space="0" w:color="auto"/>
              <w:right w:val="single" w:sz="4" w:space="0" w:color="auto"/>
            </w:tcBorders>
          </w:tcPr>
          <w:p w:rsidR="00E0567D" w:rsidRPr="00331DC2" w:rsidRDefault="00E0567D" w:rsidP="00E0567D">
            <w:pPr>
              <w:spacing w:line="240" w:lineRule="atLeast"/>
              <w:ind w:left="-9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1256,9</w:t>
            </w:r>
          </w:p>
        </w:tc>
        <w:tc>
          <w:tcPr>
            <w:tcW w:w="1134"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800,1</w:t>
            </w:r>
          </w:p>
        </w:tc>
        <w:tc>
          <w:tcPr>
            <w:tcW w:w="1559"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456,8</w:t>
            </w:r>
          </w:p>
        </w:tc>
      </w:tr>
      <w:tr w:rsidR="00E0567D" w:rsidRPr="00331DC2" w:rsidTr="00E0567D">
        <w:trPr>
          <w:trHeight w:val="300"/>
        </w:trPr>
        <w:tc>
          <w:tcPr>
            <w:tcW w:w="724"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15.11.</w:t>
            </w:r>
          </w:p>
        </w:tc>
        <w:tc>
          <w:tcPr>
            <w:tcW w:w="4261"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Нотариальных и юридических учреждений</w:t>
            </w:r>
          </w:p>
        </w:tc>
        <w:tc>
          <w:tcPr>
            <w:tcW w:w="84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2" w:type="dxa"/>
            <w:tcBorders>
              <w:top w:val="single" w:sz="4" w:space="0" w:color="auto"/>
              <w:bottom w:val="single" w:sz="4" w:space="0" w:color="auto"/>
              <w:right w:val="single" w:sz="4" w:space="0" w:color="auto"/>
            </w:tcBorders>
          </w:tcPr>
          <w:p w:rsidR="00E0567D" w:rsidRPr="00331DC2" w:rsidRDefault="00E0567D" w:rsidP="00E0567D">
            <w:pPr>
              <w:spacing w:line="240" w:lineRule="atLeast"/>
              <w:ind w:left="-9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68,9</w:t>
            </w:r>
          </w:p>
        </w:tc>
        <w:tc>
          <w:tcPr>
            <w:tcW w:w="1134"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43,9</w:t>
            </w:r>
          </w:p>
        </w:tc>
        <w:tc>
          <w:tcPr>
            <w:tcW w:w="1559"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25</w:t>
            </w:r>
          </w:p>
        </w:tc>
      </w:tr>
      <w:tr w:rsidR="00E0567D" w:rsidRPr="00331DC2" w:rsidTr="00E0567D">
        <w:trPr>
          <w:trHeight w:val="300"/>
        </w:trPr>
        <w:tc>
          <w:tcPr>
            <w:tcW w:w="724"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15.12.</w:t>
            </w:r>
          </w:p>
        </w:tc>
        <w:tc>
          <w:tcPr>
            <w:tcW w:w="4261"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Образования (подготовка кадров)</w:t>
            </w:r>
          </w:p>
        </w:tc>
        <w:tc>
          <w:tcPr>
            <w:tcW w:w="84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2" w:type="dxa"/>
            <w:tcBorders>
              <w:top w:val="single" w:sz="4" w:space="0" w:color="auto"/>
              <w:bottom w:val="single" w:sz="4" w:space="0" w:color="auto"/>
              <w:right w:val="single" w:sz="4" w:space="0" w:color="auto"/>
            </w:tcBorders>
          </w:tcPr>
          <w:p w:rsidR="00E0567D" w:rsidRPr="00331DC2" w:rsidRDefault="00E0567D" w:rsidP="00E0567D">
            <w:pPr>
              <w:spacing w:line="240" w:lineRule="atLeast"/>
              <w:ind w:left="-9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527,9</w:t>
            </w:r>
          </w:p>
        </w:tc>
        <w:tc>
          <w:tcPr>
            <w:tcW w:w="1134"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336</w:t>
            </w:r>
          </w:p>
        </w:tc>
        <w:tc>
          <w:tcPr>
            <w:tcW w:w="1559"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191,9</w:t>
            </w:r>
          </w:p>
        </w:tc>
      </w:tr>
      <w:tr w:rsidR="00E0567D" w:rsidRPr="00331DC2" w:rsidTr="00E0567D">
        <w:trPr>
          <w:trHeight w:val="300"/>
        </w:trPr>
        <w:tc>
          <w:tcPr>
            <w:tcW w:w="724"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15.13.</w:t>
            </w:r>
          </w:p>
        </w:tc>
        <w:tc>
          <w:tcPr>
            <w:tcW w:w="4261"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Пассажирского транспорта (проезд в командировку)</w:t>
            </w:r>
          </w:p>
        </w:tc>
        <w:tc>
          <w:tcPr>
            <w:tcW w:w="84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2" w:type="dxa"/>
            <w:tcBorders>
              <w:top w:val="single" w:sz="4" w:space="0" w:color="auto"/>
              <w:bottom w:val="single" w:sz="4" w:space="0" w:color="auto"/>
              <w:right w:val="single" w:sz="4" w:space="0" w:color="auto"/>
            </w:tcBorders>
          </w:tcPr>
          <w:p w:rsidR="00E0567D" w:rsidRPr="00331DC2" w:rsidRDefault="00E0567D" w:rsidP="00E0567D">
            <w:pPr>
              <w:spacing w:line="240" w:lineRule="atLeast"/>
              <w:ind w:left="-9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2749,9</w:t>
            </w:r>
          </w:p>
        </w:tc>
        <w:tc>
          <w:tcPr>
            <w:tcW w:w="1134"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1750,5</w:t>
            </w:r>
          </w:p>
        </w:tc>
        <w:tc>
          <w:tcPr>
            <w:tcW w:w="1559"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999,4</w:t>
            </w:r>
          </w:p>
        </w:tc>
      </w:tr>
      <w:tr w:rsidR="00E0567D" w:rsidRPr="00331DC2" w:rsidTr="00E0567D">
        <w:trPr>
          <w:trHeight w:val="300"/>
        </w:trPr>
        <w:tc>
          <w:tcPr>
            <w:tcW w:w="724"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15.14.</w:t>
            </w:r>
          </w:p>
        </w:tc>
        <w:tc>
          <w:tcPr>
            <w:tcW w:w="4261"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Связи</w:t>
            </w:r>
          </w:p>
        </w:tc>
        <w:tc>
          <w:tcPr>
            <w:tcW w:w="84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2" w:type="dxa"/>
            <w:tcBorders>
              <w:top w:val="single" w:sz="4" w:space="0" w:color="auto"/>
              <w:bottom w:val="single" w:sz="4" w:space="0" w:color="auto"/>
              <w:right w:val="single" w:sz="4" w:space="0" w:color="auto"/>
            </w:tcBorders>
          </w:tcPr>
          <w:p w:rsidR="00E0567D" w:rsidRPr="00331DC2" w:rsidRDefault="00E0567D" w:rsidP="00E0567D">
            <w:pPr>
              <w:spacing w:line="240" w:lineRule="atLeast"/>
              <w:ind w:left="-9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3386,8</w:t>
            </w:r>
          </w:p>
        </w:tc>
        <w:tc>
          <w:tcPr>
            <w:tcW w:w="1134"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2155,9</w:t>
            </w:r>
          </w:p>
        </w:tc>
        <w:tc>
          <w:tcPr>
            <w:tcW w:w="1559"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1230,9</w:t>
            </w:r>
          </w:p>
        </w:tc>
      </w:tr>
      <w:tr w:rsidR="00E0567D" w:rsidRPr="00331DC2" w:rsidTr="00E0567D">
        <w:trPr>
          <w:trHeight w:val="300"/>
        </w:trPr>
        <w:tc>
          <w:tcPr>
            <w:tcW w:w="724"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15.15.</w:t>
            </w:r>
          </w:p>
        </w:tc>
        <w:tc>
          <w:tcPr>
            <w:tcW w:w="4261"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Аудиторских организаций</w:t>
            </w:r>
          </w:p>
        </w:tc>
        <w:tc>
          <w:tcPr>
            <w:tcW w:w="84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2" w:type="dxa"/>
            <w:tcBorders>
              <w:top w:val="single" w:sz="4" w:space="0" w:color="auto"/>
              <w:bottom w:val="single" w:sz="4" w:space="0" w:color="auto"/>
              <w:right w:val="single" w:sz="4" w:space="0" w:color="auto"/>
            </w:tcBorders>
          </w:tcPr>
          <w:p w:rsidR="00E0567D" w:rsidRPr="00331DC2" w:rsidRDefault="00E0567D" w:rsidP="00E0567D">
            <w:pPr>
              <w:spacing w:line="240" w:lineRule="atLeast"/>
              <w:ind w:left="-9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230,9</w:t>
            </w:r>
          </w:p>
        </w:tc>
        <w:tc>
          <w:tcPr>
            <w:tcW w:w="1134"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147</w:t>
            </w:r>
          </w:p>
        </w:tc>
        <w:tc>
          <w:tcPr>
            <w:tcW w:w="1559"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83,9</w:t>
            </w:r>
          </w:p>
        </w:tc>
      </w:tr>
      <w:tr w:rsidR="00E0567D" w:rsidRPr="00331DC2" w:rsidTr="00E0567D">
        <w:trPr>
          <w:trHeight w:val="300"/>
        </w:trPr>
        <w:tc>
          <w:tcPr>
            <w:tcW w:w="724"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16.</w:t>
            </w:r>
          </w:p>
        </w:tc>
        <w:tc>
          <w:tcPr>
            <w:tcW w:w="4261"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Другие затраты</w:t>
            </w:r>
          </w:p>
        </w:tc>
        <w:tc>
          <w:tcPr>
            <w:tcW w:w="84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2" w:type="dxa"/>
            <w:tcBorders>
              <w:top w:val="single" w:sz="4" w:space="0" w:color="auto"/>
              <w:bottom w:val="single" w:sz="4" w:space="0" w:color="auto"/>
              <w:right w:val="single" w:sz="4" w:space="0" w:color="auto"/>
            </w:tcBorders>
          </w:tcPr>
          <w:p w:rsidR="00E0567D" w:rsidRPr="00331DC2" w:rsidRDefault="00E0567D" w:rsidP="00E0567D">
            <w:pPr>
              <w:spacing w:line="240" w:lineRule="atLeast"/>
              <w:ind w:left="-9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16888,53</w:t>
            </w:r>
          </w:p>
        </w:tc>
        <w:tc>
          <w:tcPr>
            <w:tcW w:w="1134"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10750,73</w:t>
            </w:r>
          </w:p>
        </w:tc>
        <w:tc>
          <w:tcPr>
            <w:tcW w:w="1559"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6137,8</w:t>
            </w:r>
          </w:p>
        </w:tc>
      </w:tr>
      <w:tr w:rsidR="00E0567D" w:rsidRPr="00331DC2" w:rsidTr="00E0567D">
        <w:trPr>
          <w:trHeight w:val="300"/>
        </w:trPr>
        <w:tc>
          <w:tcPr>
            <w:tcW w:w="724"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 </w:t>
            </w:r>
          </w:p>
        </w:tc>
        <w:tc>
          <w:tcPr>
            <w:tcW w:w="4261"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ИТОГО ИЗДЕРЖКИ</w:t>
            </w:r>
          </w:p>
        </w:tc>
        <w:tc>
          <w:tcPr>
            <w:tcW w:w="84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2" w:type="dxa"/>
            <w:tcBorders>
              <w:top w:val="single" w:sz="4" w:space="0" w:color="auto"/>
              <w:bottom w:val="single" w:sz="4" w:space="0" w:color="auto"/>
              <w:right w:val="single" w:sz="4" w:space="0" w:color="auto"/>
            </w:tcBorders>
          </w:tcPr>
          <w:p w:rsidR="00E0567D" w:rsidRPr="00331DC2" w:rsidRDefault="00E0567D" w:rsidP="00E0567D">
            <w:pPr>
              <w:spacing w:line="240" w:lineRule="atLeast"/>
              <w:ind w:left="-9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368620</w:t>
            </w:r>
          </w:p>
        </w:tc>
        <w:tc>
          <w:tcPr>
            <w:tcW w:w="1134"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231997</w:t>
            </w:r>
          </w:p>
        </w:tc>
        <w:tc>
          <w:tcPr>
            <w:tcW w:w="1559"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136623</w:t>
            </w:r>
          </w:p>
        </w:tc>
      </w:tr>
      <w:tr w:rsidR="00E0567D" w:rsidRPr="00331DC2" w:rsidTr="00E0567D">
        <w:trPr>
          <w:trHeight w:val="300"/>
        </w:trPr>
        <w:tc>
          <w:tcPr>
            <w:tcW w:w="724"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color w:val="FF0000"/>
                <w:sz w:val="24"/>
                <w:szCs w:val="24"/>
              </w:rPr>
            </w:pPr>
            <w:r w:rsidRPr="00331DC2">
              <w:rPr>
                <w:rFonts w:ascii="Times New Roman" w:hAnsi="Times New Roman" w:cs="Times New Roman"/>
                <w:color w:val="FF0000"/>
                <w:sz w:val="24"/>
                <w:szCs w:val="24"/>
              </w:rPr>
              <w:t> </w:t>
            </w:r>
          </w:p>
        </w:tc>
        <w:tc>
          <w:tcPr>
            <w:tcW w:w="4261"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color w:val="FF0000"/>
                <w:sz w:val="24"/>
                <w:szCs w:val="24"/>
              </w:rPr>
            </w:pPr>
            <w:r w:rsidRPr="00331DC2">
              <w:rPr>
                <w:rFonts w:ascii="Times New Roman" w:hAnsi="Times New Roman" w:cs="Times New Roman"/>
                <w:color w:val="FF0000"/>
                <w:sz w:val="24"/>
                <w:szCs w:val="24"/>
              </w:rPr>
              <w:t>НЕОБХОДИМАЯ ПРИБЫЛЬ</w:t>
            </w:r>
          </w:p>
        </w:tc>
        <w:tc>
          <w:tcPr>
            <w:tcW w:w="84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color w:val="FF0000"/>
                <w:sz w:val="24"/>
                <w:szCs w:val="24"/>
              </w:rPr>
            </w:pPr>
            <w:r w:rsidRPr="00331DC2">
              <w:rPr>
                <w:rFonts w:ascii="Times New Roman" w:hAnsi="Times New Roman" w:cs="Times New Roman"/>
                <w:color w:val="FF0000"/>
                <w:sz w:val="24"/>
                <w:szCs w:val="24"/>
              </w:rPr>
              <w:t>тыс.руб.</w:t>
            </w:r>
          </w:p>
        </w:tc>
        <w:tc>
          <w:tcPr>
            <w:tcW w:w="992" w:type="dxa"/>
            <w:tcBorders>
              <w:top w:val="single" w:sz="4" w:space="0" w:color="auto"/>
              <w:bottom w:val="single" w:sz="4" w:space="0" w:color="auto"/>
              <w:right w:val="single" w:sz="4" w:space="0" w:color="auto"/>
            </w:tcBorders>
          </w:tcPr>
          <w:p w:rsidR="00E0567D" w:rsidRPr="00331DC2" w:rsidRDefault="00E0567D" w:rsidP="00E0567D">
            <w:pPr>
              <w:spacing w:line="240" w:lineRule="atLeast"/>
              <w:ind w:left="-93"/>
              <w:contextualSpacing/>
              <w:jc w:val="both"/>
              <w:rPr>
                <w:rFonts w:ascii="Times New Roman" w:hAnsi="Times New Roman" w:cs="Times New Roman"/>
                <w:b/>
                <w:bCs/>
                <w:sz w:val="24"/>
                <w:szCs w:val="24"/>
                <w:highlight w:val="yellow"/>
              </w:rPr>
            </w:pPr>
            <w:r w:rsidRPr="00331DC2">
              <w:rPr>
                <w:rFonts w:ascii="Times New Roman" w:hAnsi="Times New Roman" w:cs="Times New Roman"/>
                <w:b/>
                <w:bCs/>
                <w:sz w:val="24"/>
                <w:szCs w:val="24"/>
                <w:highlight w:val="yellow"/>
              </w:rPr>
              <w:t>54721</w:t>
            </w:r>
          </w:p>
        </w:tc>
        <w:tc>
          <w:tcPr>
            <w:tcW w:w="1134"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b/>
                <w:bCs/>
                <w:sz w:val="24"/>
                <w:szCs w:val="24"/>
                <w:highlight w:val="yellow"/>
              </w:rPr>
            </w:pPr>
            <w:r w:rsidRPr="00331DC2">
              <w:rPr>
                <w:rFonts w:ascii="Times New Roman" w:hAnsi="Times New Roman" w:cs="Times New Roman"/>
                <w:b/>
                <w:bCs/>
                <w:sz w:val="24"/>
                <w:szCs w:val="24"/>
                <w:highlight w:val="yellow"/>
              </w:rPr>
              <w:t>54721</w:t>
            </w:r>
          </w:p>
        </w:tc>
        <w:tc>
          <w:tcPr>
            <w:tcW w:w="1559"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highlight w:val="yellow"/>
              </w:rPr>
            </w:pPr>
            <w:r w:rsidRPr="00331DC2">
              <w:rPr>
                <w:rFonts w:ascii="Times New Roman" w:hAnsi="Times New Roman" w:cs="Times New Roman"/>
                <w:sz w:val="24"/>
                <w:szCs w:val="24"/>
                <w:highlight w:val="yellow"/>
              </w:rPr>
              <w:t>0</w:t>
            </w:r>
          </w:p>
        </w:tc>
      </w:tr>
      <w:tr w:rsidR="00E0567D" w:rsidRPr="00331DC2" w:rsidTr="00E0567D">
        <w:trPr>
          <w:trHeight w:val="300"/>
        </w:trPr>
        <w:tc>
          <w:tcPr>
            <w:tcW w:w="724"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 </w:t>
            </w:r>
          </w:p>
        </w:tc>
        <w:tc>
          <w:tcPr>
            <w:tcW w:w="4261"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НЕОБХОДИМЫЙ ВАЛОВЫЙ ДОХОД</w:t>
            </w:r>
          </w:p>
        </w:tc>
        <w:tc>
          <w:tcPr>
            <w:tcW w:w="84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тыс.руб.</w:t>
            </w:r>
          </w:p>
        </w:tc>
        <w:tc>
          <w:tcPr>
            <w:tcW w:w="992" w:type="dxa"/>
            <w:tcBorders>
              <w:top w:val="single" w:sz="4" w:space="0" w:color="auto"/>
              <w:bottom w:val="single" w:sz="4" w:space="0" w:color="auto"/>
              <w:right w:val="single" w:sz="4" w:space="0" w:color="auto"/>
            </w:tcBorders>
          </w:tcPr>
          <w:p w:rsidR="00E0567D" w:rsidRPr="00331DC2" w:rsidRDefault="00E0567D" w:rsidP="00E0567D">
            <w:pPr>
              <w:spacing w:line="240" w:lineRule="atLeast"/>
              <w:ind w:left="-9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423341,33</w:t>
            </w:r>
          </w:p>
        </w:tc>
        <w:tc>
          <w:tcPr>
            <w:tcW w:w="1134"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286718</w:t>
            </w:r>
          </w:p>
        </w:tc>
        <w:tc>
          <w:tcPr>
            <w:tcW w:w="1559"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136623</w:t>
            </w:r>
          </w:p>
        </w:tc>
      </w:tr>
      <w:tr w:rsidR="00E0567D" w:rsidRPr="00331DC2" w:rsidTr="00E0567D">
        <w:trPr>
          <w:trHeight w:val="300"/>
        </w:trPr>
        <w:tc>
          <w:tcPr>
            <w:tcW w:w="724"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 </w:t>
            </w:r>
          </w:p>
        </w:tc>
        <w:tc>
          <w:tcPr>
            <w:tcW w:w="4261"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 </w:t>
            </w:r>
          </w:p>
        </w:tc>
        <w:tc>
          <w:tcPr>
            <w:tcW w:w="84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 </w:t>
            </w:r>
          </w:p>
        </w:tc>
        <w:tc>
          <w:tcPr>
            <w:tcW w:w="992" w:type="dxa"/>
            <w:tcBorders>
              <w:top w:val="single" w:sz="4" w:space="0" w:color="auto"/>
              <w:bottom w:val="single" w:sz="4" w:space="0" w:color="auto"/>
              <w:right w:val="single" w:sz="4" w:space="0" w:color="auto"/>
            </w:tcBorders>
          </w:tcPr>
          <w:p w:rsidR="00E0567D" w:rsidRPr="00331DC2" w:rsidRDefault="00E0567D" w:rsidP="00E0567D">
            <w:pPr>
              <w:spacing w:line="240" w:lineRule="atLeast"/>
              <w:ind w:left="-9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 </w:t>
            </w:r>
          </w:p>
        </w:tc>
        <w:tc>
          <w:tcPr>
            <w:tcW w:w="1134"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 </w:t>
            </w:r>
          </w:p>
        </w:tc>
        <w:tc>
          <w:tcPr>
            <w:tcW w:w="1559"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sz w:val="24"/>
                <w:szCs w:val="24"/>
              </w:rPr>
            </w:pPr>
            <w:r w:rsidRPr="00331DC2">
              <w:rPr>
                <w:rFonts w:ascii="Times New Roman" w:hAnsi="Times New Roman" w:cs="Times New Roman"/>
                <w:sz w:val="24"/>
                <w:szCs w:val="24"/>
              </w:rPr>
              <w:t> </w:t>
            </w:r>
          </w:p>
        </w:tc>
      </w:tr>
      <w:tr w:rsidR="00E0567D" w:rsidRPr="00331DC2" w:rsidTr="00E0567D">
        <w:trPr>
          <w:trHeight w:val="300"/>
        </w:trPr>
        <w:tc>
          <w:tcPr>
            <w:tcW w:w="724" w:type="dxa"/>
            <w:tcBorders>
              <w:top w:val="nil"/>
              <w:left w:val="single" w:sz="4" w:space="0" w:color="auto"/>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 </w:t>
            </w:r>
          </w:p>
        </w:tc>
        <w:tc>
          <w:tcPr>
            <w:tcW w:w="4261"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 xml:space="preserve">ТАРИФ ЗА </w:t>
            </w:r>
            <w:r w:rsidRPr="00331DC2">
              <w:rPr>
                <w:rFonts w:ascii="Times New Roman" w:hAnsi="Times New Roman" w:cs="Times New Roman"/>
                <w:sz w:val="24"/>
                <w:szCs w:val="24"/>
              </w:rPr>
              <w:t>1 ТН</w:t>
            </w:r>
          </w:p>
        </w:tc>
        <w:tc>
          <w:tcPr>
            <w:tcW w:w="842" w:type="dxa"/>
            <w:tcBorders>
              <w:top w:val="nil"/>
              <w:left w:val="nil"/>
              <w:bottom w:val="single" w:sz="4" w:space="0" w:color="auto"/>
              <w:right w:val="single" w:sz="4" w:space="0" w:color="auto"/>
            </w:tcBorders>
            <w:noWrap/>
            <w:hideMark/>
          </w:tcPr>
          <w:p w:rsidR="00E0567D" w:rsidRPr="00331DC2" w:rsidRDefault="00E0567D" w:rsidP="00E0567D">
            <w:pPr>
              <w:spacing w:line="240" w:lineRule="atLeast"/>
              <w:ind w:left="-93" w:right="-108"/>
              <w:contextualSpacing/>
              <w:jc w:val="both"/>
              <w:rPr>
                <w:rFonts w:ascii="Times New Roman" w:hAnsi="Times New Roman" w:cs="Times New Roman"/>
                <w:sz w:val="24"/>
                <w:szCs w:val="24"/>
              </w:rPr>
            </w:pPr>
            <w:r w:rsidRPr="00331DC2">
              <w:rPr>
                <w:rFonts w:ascii="Times New Roman" w:hAnsi="Times New Roman" w:cs="Times New Roman"/>
                <w:sz w:val="24"/>
                <w:szCs w:val="24"/>
              </w:rPr>
              <w:t>руб.</w:t>
            </w:r>
          </w:p>
        </w:tc>
        <w:tc>
          <w:tcPr>
            <w:tcW w:w="992" w:type="dxa"/>
            <w:tcBorders>
              <w:top w:val="single" w:sz="4" w:space="0" w:color="auto"/>
              <w:bottom w:val="single" w:sz="4" w:space="0" w:color="auto"/>
              <w:right w:val="single" w:sz="4" w:space="0" w:color="auto"/>
            </w:tcBorders>
          </w:tcPr>
          <w:p w:rsidR="00E0567D" w:rsidRPr="00331DC2" w:rsidRDefault="00E0567D" w:rsidP="00E0567D">
            <w:pPr>
              <w:spacing w:line="240" w:lineRule="atLeast"/>
              <w:ind w:left="-9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728,32</w:t>
            </w:r>
          </w:p>
        </w:tc>
        <w:tc>
          <w:tcPr>
            <w:tcW w:w="1134"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774,89</w:t>
            </w:r>
          </w:p>
        </w:tc>
        <w:tc>
          <w:tcPr>
            <w:tcW w:w="1559" w:type="dxa"/>
            <w:tcBorders>
              <w:top w:val="single" w:sz="4" w:space="0" w:color="auto"/>
              <w:left w:val="single" w:sz="4" w:space="0" w:color="auto"/>
              <w:bottom w:val="single" w:sz="4" w:space="0" w:color="auto"/>
              <w:right w:val="single" w:sz="4" w:space="0" w:color="auto"/>
            </w:tcBorders>
          </w:tcPr>
          <w:p w:rsidR="00E0567D" w:rsidRPr="00331DC2" w:rsidRDefault="00E0567D" w:rsidP="00E0567D">
            <w:pPr>
              <w:spacing w:line="240" w:lineRule="atLeast"/>
              <w:ind w:left="-93" w:right="33"/>
              <w:contextualSpacing/>
              <w:jc w:val="both"/>
              <w:rPr>
                <w:rFonts w:ascii="Times New Roman" w:hAnsi="Times New Roman" w:cs="Times New Roman"/>
                <w:b/>
                <w:bCs/>
                <w:sz w:val="24"/>
                <w:szCs w:val="24"/>
              </w:rPr>
            </w:pPr>
            <w:r w:rsidRPr="00331DC2">
              <w:rPr>
                <w:rFonts w:ascii="Times New Roman" w:hAnsi="Times New Roman" w:cs="Times New Roman"/>
                <w:b/>
                <w:bCs/>
                <w:sz w:val="24"/>
                <w:szCs w:val="24"/>
              </w:rPr>
              <w:t>646,74</w:t>
            </w:r>
          </w:p>
        </w:tc>
      </w:tr>
    </w:tbl>
    <w:p w:rsidR="00E0567D" w:rsidRPr="00331DC2" w:rsidRDefault="00E0567D" w:rsidP="00E0567D">
      <w:pPr>
        <w:adjustRightInd w:val="0"/>
        <w:contextualSpacing/>
        <w:jc w:val="both"/>
        <w:outlineLvl w:val="1"/>
        <w:rPr>
          <w:rFonts w:ascii="Times New Roman" w:hAnsi="Times New Roman" w:cs="Times New Roman"/>
          <w:sz w:val="24"/>
          <w:szCs w:val="24"/>
        </w:rPr>
      </w:pPr>
    </w:p>
    <w:p w:rsidR="00E0567D" w:rsidRPr="00331DC2" w:rsidRDefault="00E0567D" w:rsidP="00E0567D">
      <w:pPr>
        <w:ind w:left="709"/>
        <w:contextualSpacing/>
        <w:jc w:val="both"/>
        <w:rPr>
          <w:rFonts w:ascii="Times New Roman" w:hAnsi="Times New Roman" w:cs="Times New Roman"/>
          <w:sz w:val="24"/>
          <w:szCs w:val="24"/>
        </w:rPr>
      </w:pPr>
      <w:r w:rsidRPr="00331DC2">
        <w:rPr>
          <w:rFonts w:ascii="Times New Roman" w:hAnsi="Times New Roman" w:cs="Times New Roman"/>
          <w:sz w:val="24"/>
          <w:szCs w:val="24"/>
        </w:rPr>
        <w:t>Таблица 3.</w:t>
      </w:r>
    </w:p>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 xml:space="preserve">Расчет тарифов на услуги по приему, складским операциям, хранению нефтепродуктов, ставки снабженческо-сбытовой и торговой надбавки </w:t>
      </w:r>
    </w:p>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для ОАО «Саханефтегазсбыт» на 2011 год</w:t>
      </w:r>
    </w:p>
    <w:tbl>
      <w:tblPr>
        <w:tblW w:w="978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4"/>
        <w:gridCol w:w="1124"/>
        <w:gridCol w:w="1085"/>
        <w:gridCol w:w="1236"/>
        <w:gridCol w:w="1234"/>
      </w:tblGrid>
      <w:tr w:rsidR="00E0567D" w:rsidRPr="00331DC2" w:rsidTr="00E0567D">
        <w:trPr>
          <w:trHeight w:val="450"/>
        </w:trPr>
        <w:tc>
          <w:tcPr>
            <w:tcW w:w="5104" w:type="dxa"/>
            <w:vMerge w:val="restart"/>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 xml:space="preserve"> </w:t>
            </w:r>
          </w:p>
        </w:tc>
        <w:tc>
          <w:tcPr>
            <w:tcW w:w="4679" w:type="dxa"/>
            <w:gridSpan w:val="4"/>
          </w:tcPr>
          <w:p w:rsidR="00E0567D" w:rsidRPr="00331DC2" w:rsidRDefault="00E0567D" w:rsidP="00E0567D">
            <w:pPr>
              <w:contextualSpacing/>
              <w:jc w:val="both"/>
              <w:rPr>
                <w:rFonts w:ascii="Times New Roman" w:hAnsi="Times New Roman" w:cs="Times New Roman"/>
                <w:b/>
                <w:sz w:val="24"/>
                <w:szCs w:val="24"/>
              </w:rPr>
            </w:pPr>
            <w:r w:rsidRPr="00331DC2">
              <w:rPr>
                <w:rFonts w:ascii="Times New Roman" w:hAnsi="Times New Roman" w:cs="Times New Roman"/>
                <w:b/>
                <w:sz w:val="24"/>
                <w:szCs w:val="24"/>
              </w:rPr>
              <w:t>Согласовано с ГКЦ-РЭК на 2011 год с учетом изм-й по хранению местного топлива и сельхозтоваропроиз.</w:t>
            </w:r>
          </w:p>
        </w:tc>
      </w:tr>
      <w:tr w:rsidR="00E0567D" w:rsidRPr="00331DC2" w:rsidTr="00E0567D">
        <w:tc>
          <w:tcPr>
            <w:tcW w:w="5104" w:type="dxa"/>
            <w:vMerge/>
          </w:tcPr>
          <w:p w:rsidR="00E0567D" w:rsidRPr="00331DC2" w:rsidRDefault="00E0567D" w:rsidP="00E0567D">
            <w:pPr>
              <w:contextualSpacing/>
              <w:jc w:val="both"/>
              <w:rPr>
                <w:rFonts w:ascii="Times New Roman" w:hAnsi="Times New Roman" w:cs="Times New Roman"/>
                <w:sz w:val="24"/>
                <w:szCs w:val="24"/>
              </w:rPr>
            </w:pPr>
          </w:p>
        </w:tc>
        <w:tc>
          <w:tcPr>
            <w:tcW w:w="3445" w:type="dxa"/>
            <w:gridSpan w:val="3"/>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Прогноз на 2011 год</w:t>
            </w:r>
          </w:p>
        </w:tc>
        <w:tc>
          <w:tcPr>
            <w:tcW w:w="1234" w:type="dxa"/>
            <w:vMerge w:val="restart"/>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 xml:space="preserve">% роста надбавок и тарифов </w:t>
            </w:r>
          </w:p>
        </w:tc>
      </w:tr>
      <w:tr w:rsidR="00E0567D" w:rsidRPr="00331DC2" w:rsidTr="00E0567D">
        <w:trPr>
          <w:trHeight w:val="456"/>
        </w:trPr>
        <w:tc>
          <w:tcPr>
            <w:tcW w:w="5104" w:type="dxa"/>
            <w:vMerge/>
          </w:tcPr>
          <w:p w:rsidR="00E0567D" w:rsidRPr="00331DC2" w:rsidRDefault="00E0567D" w:rsidP="00E0567D">
            <w:pPr>
              <w:contextualSpacing/>
              <w:jc w:val="both"/>
              <w:rPr>
                <w:rFonts w:ascii="Times New Roman" w:hAnsi="Times New Roman" w:cs="Times New Roman"/>
                <w:sz w:val="24"/>
                <w:szCs w:val="24"/>
              </w:rPr>
            </w:pPr>
          </w:p>
        </w:tc>
        <w:tc>
          <w:tcPr>
            <w:tcW w:w="1124"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 xml:space="preserve">Объем тыс. тн </w:t>
            </w:r>
          </w:p>
        </w:tc>
        <w:tc>
          <w:tcPr>
            <w:tcW w:w="1085"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 xml:space="preserve">Ставка руб/тн </w:t>
            </w:r>
          </w:p>
        </w:tc>
        <w:tc>
          <w:tcPr>
            <w:tcW w:w="1236"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 xml:space="preserve">Сумма тыс. руб. </w:t>
            </w:r>
          </w:p>
        </w:tc>
        <w:tc>
          <w:tcPr>
            <w:tcW w:w="1234" w:type="dxa"/>
            <w:vMerge/>
          </w:tcPr>
          <w:p w:rsidR="00E0567D" w:rsidRPr="00331DC2" w:rsidRDefault="00E0567D" w:rsidP="00E0567D">
            <w:pPr>
              <w:contextualSpacing/>
              <w:jc w:val="both"/>
              <w:rPr>
                <w:rFonts w:ascii="Times New Roman" w:hAnsi="Times New Roman" w:cs="Times New Roman"/>
                <w:sz w:val="24"/>
                <w:szCs w:val="24"/>
              </w:rPr>
            </w:pPr>
          </w:p>
        </w:tc>
      </w:tr>
      <w:tr w:rsidR="00E0567D" w:rsidRPr="00331DC2" w:rsidTr="00E0567D">
        <w:tc>
          <w:tcPr>
            <w:tcW w:w="5104" w:type="dxa"/>
          </w:tcPr>
          <w:p w:rsidR="00E0567D" w:rsidRPr="00331DC2" w:rsidRDefault="00E0567D" w:rsidP="00E0567D">
            <w:pPr>
              <w:contextualSpacing/>
              <w:jc w:val="both"/>
              <w:rPr>
                <w:rFonts w:ascii="Times New Roman" w:hAnsi="Times New Roman" w:cs="Times New Roman"/>
                <w:b/>
                <w:sz w:val="24"/>
                <w:szCs w:val="24"/>
              </w:rPr>
            </w:pPr>
            <w:r w:rsidRPr="00331DC2">
              <w:rPr>
                <w:rFonts w:ascii="Times New Roman" w:hAnsi="Times New Roman" w:cs="Times New Roman"/>
                <w:b/>
                <w:sz w:val="24"/>
                <w:szCs w:val="24"/>
              </w:rPr>
              <w:t xml:space="preserve">Приемо-складские операции всего, в т.ч.  </w:t>
            </w:r>
          </w:p>
        </w:tc>
        <w:tc>
          <w:tcPr>
            <w:tcW w:w="1124" w:type="dxa"/>
          </w:tcPr>
          <w:p w:rsidR="00E0567D" w:rsidRPr="00331DC2" w:rsidRDefault="00E0567D" w:rsidP="00E0567D">
            <w:pPr>
              <w:contextualSpacing/>
              <w:jc w:val="both"/>
              <w:rPr>
                <w:rFonts w:ascii="Times New Roman" w:hAnsi="Times New Roman" w:cs="Times New Roman"/>
                <w:b/>
                <w:sz w:val="24"/>
                <w:szCs w:val="24"/>
              </w:rPr>
            </w:pPr>
            <w:r w:rsidRPr="00331DC2">
              <w:rPr>
                <w:rFonts w:ascii="Times New Roman" w:hAnsi="Times New Roman" w:cs="Times New Roman"/>
                <w:b/>
                <w:sz w:val="24"/>
                <w:szCs w:val="24"/>
              </w:rPr>
              <w:t>581,25</w:t>
            </w:r>
          </w:p>
        </w:tc>
        <w:tc>
          <w:tcPr>
            <w:tcW w:w="1085" w:type="dxa"/>
          </w:tcPr>
          <w:p w:rsidR="00E0567D" w:rsidRPr="00331DC2" w:rsidRDefault="00E0567D" w:rsidP="00E0567D">
            <w:pPr>
              <w:contextualSpacing/>
              <w:jc w:val="both"/>
              <w:rPr>
                <w:rFonts w:ascii="Times New Roman" w:hAnsi="Times New Roman" w:cs="Times New Roman"/>
                <w:b/>
                <w:sz w:val="24"/>
                <w:szCs w:val="24"/>
              </w:rPr>
            </w:pPr>
          </w:p>
        </w:tc>
        <w:tc>
          <w:tcPr>
            <w:tcW w:w="1236" w:type="dxa"/>
          </w:tcPr>
          <w:p w:rsidR="00E0567D" w:rsidRPr="00331DC2" w:rsidRDefault="00E0567D" w:rsidP="00E0567D">
            <w:pPr>
              <w:contextualSpacing/>
              <w:jc w:val="both"/>
              <w:rPr>
                <w:rFonts w:ascii="Times New Roman" w:hAnsi="Times New Roman" w:cs="Times New Roman"/>
                <w:b/>
                <w:sz w:val="24"/>
                <w:szCs w:val="24"/>
              </w:rPr>
            </w:pPr>
            <w:r w:rsidRPr="00331DC2">
              <w:rPr>
                <w:rFonts w:ascii="Times New Roman" w:hAnsi="Times New Roman" w:cs="Times New Roman"/>
                <w:b/>
                <w:sz w:val="24"/>
                <w:szCs w:val="24"/>
              </w:rPr>
              <w:t>423341</w:t>
            </w:r>
          </w:p>
        </w:tc>
        <w:tc>
          <w:tcPr>
            <w:tcW w:w="1234" w:type="dxa"/>
          </w:tcPr>
          <w:p w:rsidR="00E0567D" w:rsidRPr="00331DC2" w:rsidRDefault="00E0567D" w:rsidP="00E0567D">
            <w:pPr>
              <w:contextualSpacing/>
              <w:jc w:val="both"/>
              <w:rPr>
                <w:rFonts w:ascii="Times New Roman" w:hAnsi="Times New Roman" w:cs="Times New Roman"/>
                <w:b/>
                <w:sz w:val="24"/>
                <w:szCs w:val="24"/>
              </w:rPr>
            </w:pPr>
          </w:p>
        </w:tc>
      </w:tr>
      <w:tr w:rsidR="00E0567D" w:rsidRPr="00331DC2" w:rsidTr="00E0567D">
        <w:tc>
          <w:tcPr>
            <w:tcW w:w="5104"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 для гос. нужд (с учетом повторных перевозок)</w:t>
            </w:r>
          </w:p>
        </w:tc>
        <w:tc>
          <w:tcPr>
            <w:tcW w:w="1124"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85,12</w:t>
            </w:r>
          </w:p>
        </w:tc>
        <w:tc>
          <w:tcPr>
            <w:tcW w:w="1085" w:type="dxa"/>
          </w:tcPr>
          <w:p w:rsidR="00E0567D" w:rsidRPr="00331DC2" w:rsidRDefault="00E0567D" w:rsidP="00E0567D">
            <w:pPr>
              <w:contextualSpacing/>
              <w:jc w:val="both"/>
              <w:rPr>
                <w:rFonts w:ascii="Times New Roman" w:hAnsi="Times New Roman" w:cs="Times New Roman"/>
                <w:b/>
                <w:sz w:val="24"/>
                <w:szCs w:val="24"/>
              </w:rPr>
            </w:pPr>
            <w:r w:rsidRPr="00331DC2">
              <w:rPr>
                <w:rFonts w:ascii="Times New Roman" w:hAnsi="Times New Roman" w:cs="Times New Roman"/>
                <w:b/>
                <w:sz w:val="24"/>
                <w:szCs w:val="24"/>
              </w:rPr>
              <w:t>774,9</w:t>
            </w:r>
          </w:p>
        </w:tc>
        <w:tc>
          <w:tcPr>
            <w:tcW w:w="1236"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65955,6</w:t>
            </w:r>
          </w:p>
        </w:tc>
        <w:tc>
          <w:tcPr>
            <w:tcW w:w="1234"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97,3</w:t>
            </w:r>
          </w:p>
        </w:tc>
      </w:tr>
      <w:tr w:rsidR="00E0567D" w:rsidRPr="00331DC2" w:rsidTr="00E0567D">
        <w:trPr>
          <w:trHeight w:val="189"/>
        </w:trPr>
        <w:tc>
          <w:tcPr>
            <w:tcW w:w="5104"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 местное топливо (с учетом повторных перевозок)</w:t>
            </w:r>
          </w:p>
        </w:tc>
        <w:tc>
          <w:tcPr>
            <w:tcW w:w="1124"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211,25</w:t>
            </w:r>
          </w:p>
        </w:tc>
        <w:tc>
          <w:tcPr>
            <w:tcW w:w="1085" w:type="dxa"/>
          </w:tcPr>
          <w:p w:rsidR="00E0567D" w:rsidRPr="00331DC2" w:rsidRDefault="00E0567D" w:rsidP="00E0567D">
            <w:pPr>
              <w:contextualSpacing/>
              <w:jc w:val="both"/>
              <w:rPr>
                <w:rFonts w:ascii="Times New Roman" w:hAnsi="Times New Roman" w:cs="Times New Roman"/>
                <w:b/>
                <w:sz w:val="24"/>
                <w:szCs w:val="24"/>
              </w:rPr>
            </w:pPr>
            <w:r w:rsidRPr="00331DC2">
              <w:rPr>
                <w:rFonts w:ascii="Times New Roman" w:hAnsi="Times New Roman" w:cs="Times New Roman"/>
                <w:b/>
                <w:sz w:val="24"/>
                <w:szCs w:val="24"/>
              </w:rPr>
              <w:t>646,75</w:t>
            </w:r>
          </w:p>
        </w:tc>
        <w:tc>
          <w:tcPr>
            <w:tcW w:w="1236"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136623,4</w:t>
            </w:r>
          </w:p>
        </w:tc>
        <w:tc>
          <w:tcPr>
            <w:tcW w:w="1234"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122,7</w:t>
            </w:r>
          </w:p>
        </w:tc>
      </w:tr>
      <w:tr w:rsidR="00E0567D" w:rsidRPr="00331DC2" w:rsidTr="00E0567D">
        <w:tc>
          <w:tcPr>
            <w:tcW w:w="5104"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 xml:space="preserve">- для прочих поклажедателей </w:t>
            </w:r>
          </w:p>
        </w:tc>
        <w:tc>
          <w:tcPr>
            <w:tcW w:w="1124"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284,89</w:t>
            </w:r>
          </w:p>
        </w:tc>
        <w:tc>
          <w:tcPr>
            <w:tcW w:w="1085" w:type="dxa"/>
          </w:tcPr>
          <w:p w:rsidR="00E0567D" w:rsidRPr="00331DC2" w:rsidRDefault="00E0567D" w:rsidP="00E0567D">
            <w:pPr>
              <w:contextualSpacing/>
              <w:jc w:val="both"/>
              <w:rPr>
                <w:rFonts w:ascii="Times New Roman" w:hAnsi="Times New Roman" w:cs="Times New Roman"/>
                <w:b/>
                <w:sz w:val="24"/>
                <w:szCs w:val="24"/>
              </w:rPr>
            </w:pPr>
            <w:r w:rsidRPr="00331DC2">
              <w:rPr>
                <w:rFonts w:ascii="Times New Roman" w:hAnsi="Times New Roman" w:cs="Times New Roman"/>
                <w:b/>
                <w:sz w:val="24"/>
                <w:szCs w:val="24"/>
              </w:rPr>
              <w:t>774,9</w:t>
            </w:r>
          </w:p>
        </w:tc>
        <w:tc>
          <w:tcPr>
            <w:tcW w:w="1236"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220762</w:t>
            </w:r>
          </w:p>
        </w:tc>
        <w:tc>
          <w:tcPr>
            <w:tcW w:w="1234"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64,4</w:t>
            </w:r>
          </w:p>
        </w:tc>
      </w:tr>
      <w:tr w:rsidR="00E0567D" w:rsidRPr="00331DC2" w:rsidTr="00E0567D">
        <w:trPr>
          <w:trHeight w:val="163"/>
        </w:trPr>
        <w:tc>
          <w:tcPr>
            <w:tcW w:w="5104" w:type="dxa"/>
          </w:tcPr>
          <w:p w:rsidR="00E0567D" w:rsidRPr="00331DC2" w:rsidRDefault="00E0567D" w:rsidP="00E0567D">
            <w:pPr>
              <w:contextualSpacing/>
              <w:jc w:val="both"/>
              <w:rPr>
                <w:rFonts w:ascii="Times New Roman" w:hAnsi="Times New Roman" w:cs="Times New Roman"/>
                <w:sz w:val="24"/>
                <w:szCs w:val="24"/>
              </w:rPr>
            </w:pPr>
          </w:p>
        </w:tc>
        <w:tc>
          <w:tcPr>
            <w:tcW w:w="1124" w:type="dxa"/>
          </w:tcPr>
          <w:p w:rsidR="00E0567D" w:rsidRPr="00331DC2" w:rsidRDefault="00E0567D" w:rsidP="00E0567D">
            <w:pPr>
              <w:contextualSpacing/>
              <w:jc w:val="both"/>
              <w:rPr>
                <w:rFonts w:ascii="Times New Roman" w:hAnsi="Times New Roman" w:cs="Times New Roman"/>
                <w:sz w:val="24"/>
                <w:szCs w:val="24"/>
              </w:rPr>
            </w:pPr>
          </w:p>
        </w:tc>
        <w:tc>
          <w:tcPr>
            <w:tcW w:w="1085" w:type="dxa"/>
          </w:tcPr>
          <w:p w:rsidR="00E0567D" w:rsidRPr="00331DC2" w:rsidRDefault="00E0567D" w:rsidP="00E0567D">
            <w:pPr>
              <w:contextualSpacing/>
              <w:jc w:val="both"/>
              <w:rPr>
                <w:rFonts w:ascii="Times New Roman" w:hAnsi="Times New Roman" w:cs="Times New Roman"/>
                <w:sz w:val="24"/>
                <w:szCs w:val="24"/>
              </w:rPr>
            </w:pPr>
          </w:p>
        </w:tc>
        <w:tc>
          <w:tcPr>
            <w:tcW w:w="1236" w:type="dxa"/>
          </w:tcPr>
          <w:p w:rsidR="00E0567D" w:rsidRPr="00331DC2" w:rsidRDefault="00E0567D" w:rsidP="00E0567D">
            <w:pPr>
              <w:contextualSpacing/>
              <w:jc w:val="both"/>
              <w:rPr>
                <w:rFonts w:ascii="Times New Roman" w:hAnsi="Times New Roman" w:cs="Times New Roman"/>
                <w:sz w:val="24"/>
                <w:szCs w:val="24"/>
              </w:rPr>
            </w:pPr>
          </w:p>
        </w:tc>
        <w:tc>
          <w:tcPr>
            <w:tcW w:w="1234" w:type="dxa"/>
          </w:tcPr>
          <w:p w:rsidR="00E0567D" w:rsidRPr="00331DC2" w:rsidRDefault="00E0567D" w:rsidP="00E0567D">
            <w:pPr>
              <w:contextualSpacing/>
              <w:jc w:val="both"/>
              <w:rPr>
                <w:rFonts w:ascii="Times New Roman" w:hAnsi="Times New Roman" w:cs="Times New Roman"/>
                <w:sz w:val="24"/>
                <w:szCs w:val="24"/>
              </w:rPr>
            </w:pPr>
          </w:p>
        </w:tc>
      </w:tr>
      <w:tr w:rsidR="00E0567D" w:rsidRPr="00331DC2" w:rsidTr="00E0567D">
        <w:trPr>
          <w:trHeight w:val="273"/>
        </w:trPr>
        <w:tc>
          <w:tcPr>
            <w:tcW w:w="5104" w:type="dxa"/>
          </w:tcPr>
          <w:p w:rsidR="00E0567D" w:rsidRPr="00331DC2" w:rsidRDefault="00E0567D" w:rsidP="00E0567D">
            <w:pPr>
              <w:contextualSpacing/>
              <w:jc w:val="both"/>
              <w:rPr>
                <w:rFonts w:ascii="Times New Roman" w:hAnsi="Times New Roman" w:cs="Times New Roman"/>
                <w:b/>
                <w:sz w:val="24"/>
                <w:szCs w:val="24"/>
              </w:rPr>
            </w:pPr>
            <w:r w:rsidRPr="00331DC2">
              <w:rPr>
                <w:rFonts w:ascii="Times New Roman" w:hAnsi="Times New Roman" w:cs="Times New Roman"/>
                <w:b/>
                <w:sz w:val="24"/>
                <w:szCs w:val="24"/>
              </w:rPr>
              <w:t xml:space="preserve">Хранение нефтепродуктов на нефтебазах всего, в т.ч. </w:t>
            </w:r>
          </w:p>
        </w:tc>
        <w:tc>
          <w:tcPr>
            <w:tcW w:w="1124" w:type="dxa"/>
          </w:tcPr>
          <w:p w:rsidR="00E0567D" w:rsidRPr="00331DC2" w:rsidRDefault="00E0567D" w:rsidP="00E0567D">
            <w:pPr>
              <w:contextualSpacing/>
              <w:jc w:val="both"/>
              <w:rPr>
                <w:rFonts w:ascii="Times New Roman" w:hAnsi="Times New Roman" w:cs="Times New Roman"/>
                <w:b/>
                <w:sz w:val="24"/>
                <w:szCs w:val="24"/>
              </w:rPr>
            </w:pPr>
            <w:r w:rsidRPr="00331DC2">
              <w:rPr>
                <w:rFonts w:ascii="Times New Roman" w:hAnsi="Times New Roman" w:cs="Times New Roman"/>
                <w:b/>
                <w:sz w:val="24"/>
                <w:szCs w:val="24"/>
              </w:rPr>
              <w:t>501,83</w:t>
            </w:r>
          </w:p>
        </w:tc>
        <w:tc>
          <w:tcPr>
            <w:tcW w:w="1085" w:type="dxa"/>
          </w:tcPr>
          <w:p w:rsidR="00E0567D" w:rsidRPr="00331DC2" w:rsidRDefault="00E0567D" w:rsidP="00E0567D">
            <w:pPr>
              <w:contextualSpacing/>
              <w:jc w:val="both"/>
              <w:rPr>
                <w:rFonts w:ascii="Times New Roman" w:hAnsi="Times New Roman" w:cs="Times New Roman"/>
                <w:b/>
                <w:sz w:val="24"/>
                <w:szCs w:val="24"/>
              </w:rPr>
            </w:pPr>
          </w:p>
        </w:tc>
        <w:tc>
          <w:tcPr>
            <w:tcW w:w="1236" w:type="dxa"/>
          </w:tcPr>
          <w:p w:rsidR="00E0567D" w:rsidRPr="00331DC2" w:rsidRDefault="00E0567D" w:rsidP="00E0567D">
            <w:pPr>
              <w:contextualSpacing/>
              <w:jc w:val="both"/>
              <w:rPr>
                <w:rFonts w:ascii="Times New Roman" w:hAnsi="Times New Roman" w:cs="Times New Roman"/>
                <w:b/>
                <w:sz w:val="24"/>
                <w:szCs w:val="24"/>
              </w:rPr>
            </w:pPr>
            <w:r w:rsidRPr="00331DC2">
              <w:rPr>
                <w:rFonts w:ascii="Times New Roman" w:hAnsi="Times New Roman" w:cs="Times New Roman"/>
                <w:b/>
                <w:sz w:val="24"/>
                <w:szCs w:val="24"/>
              </w:rPr>
              <w:t>658507,8</w:t>
            </w:r>
          </w:p>
        </w:tc>
        <w:tc>
          <w:tcPr>
            <w:tcW w:w="1234" w:type="dxa"/>
          </w:tcPr>
          <w:p w:rsidR="00E0567D" w:rsidRPr="00331DC2" w:rsidRDefault="00E0567D" w:rsidP="00E0567D">
            <w:pPr>
              <w:contextualSpacing/>
              <w:jc w:val="both"/>
              <w:rPr>
                <w:rFonts w:ascii="Times New Roman" w:hAnsi="Times New Roman" w:cs="Times New Roman"/>
                <w:b/>
                <w:sz w:val="24"/>
                <w:szCs w:val="24"/>
              </w:rPr>
            </w:pPr>
          </w:p>
        </w:tc>
      </w:tr>
      <w:tr w:rsidR="00E0567D" w:rsidRPr="00331DC2" w:rsidTr="00E0567D">
        <w:tc>
          <w:tcPr>
            <w:tcW w:w="5104"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 xml:space="preserve">- для гос. нужд (за балансом) </w:t>
            </w:r>
          </w:p>
        </w:tc>
        <w:tc>
          <w:tcPr>
            <w:tcW w:w="1124"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0</w:t>
            </w:r>
          </w:p>
        </w:tc>
        <w:tc>
          <w:tcPr>
            <w:tcW w:w="1085" w:type="dxa"/>
          </w:tcPr>
          <w:p w:rsidR="00E0567D" w:rsidRPr="00331DC2" w:rsidRDefault="00E0567D" w:rsidP="00E0567D">
            <w:pPr>
              <w:contextualSpacing/>
              <w:jc w:val="both"/>
              <w:rPr>
                <w:rFonts w:ascii="Times New Roman" w:hAnsi="Times New Roman" w:cs="Times New Roman"/>
                <w:b/>
                <w:sz w:val="24"/>
                <w:szCs w:val="24"/>
              </w:rPr>
            </w:pPr>
            <w:r w:rsidRPr="00331DC2">
              <w:rPr>
                <w:rFonts w:ascii="Times New Roman" w:hAnsi="Times New Roman" w:cs="Times New Roman"/>
                <w:b/>
                <w:sz w:val="24"/>
                <w:szCs w:val="24"/>
              </w:rPr>
              <w:t>6,95</w:t>
            </w:r>
          </w:p>
        </w:tc>
        <w:tc>
          <w:tcPr>
            <w:tcW w:w="1236" w:type="dxa"/>
          </w:tcPr>
          <w:p w:rsidR="00E0567D" w:rsidRPr="00331DC2" w:rsidRDefault="00E0567D" w:rsidP="00E0567D">
            <w:pPr>
              <w:contextualSpacing/>
              <w:jc w:val="both"/>
              <w:rPr>
                <w:rFonts w:ascii="Times New Roman" w:hAnsi="Times New Roman" w:cs="Times New Roman"/>
                <w:sz w:val="24"/>
                <w:szCs w:val="24"/>
              </w:rPr>
            </w:pPr>
          </w:p>
        </w:tc>
        <w:tc>
          <w:tcPr>
            <w:tcW w:w="1234"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110</w:t>
            </w:r>
          </w:p>
        </w:tc>
      </w:tr>
      <w:tr w:rsidR="00E0567D" w:rsidRPr="00331DC2" w:rsidTr="00E0567D">
        <w:tc>
          <w:tcPr>
            <w:tcW w:w="5104"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 xml:space="preserve">- местное топливо (152 дн) </w:t>
            </w:r>
          </w:p>
        </w:tc>
        <w:tc>
          <w:tcPr>
            <w:tcW w:w="1124"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143,71</w:t>
            </w:r>
          </w:p>
        </w:tc>
        <w:tc>
          <w:tcPr>
            <w:tcW w:w="1085" w:type="dxa"/>
          </w:tcPr>
          <w:p w:rsidR="00E0567D" w:rsidRPr="00331DC2" w:rsidRDefault="00E0567D" w:rsidP="00E0567D">
            <w:pPr>
              <w:contextualSpacing/>
              <w:jc w:val="both"/>
              <w:rPr>
                <w:rFonts w:ascii="Times New Roman" w:hAnsi="Times New Roman" w:cs="Times New Roman"/>
                <w:b/>
                <w:sz w:val="24"/>
                <w:szCs w:val="24"/>
              </w:rPr>
            </w:pPr>
            <w:r w:rsidRPr="00331DC2">
              <w:rPr>
                <w:rFonts w:ascii="Times New Roman" w:hAnsi="Times New Roman" w:cs="Times New Roman"/>
                <w:b/>
                <w:sz w:val="24"/>
                <w:szCs w:val="24"/>
              </w:rPr>
              <w:t>7,06</w:t>
            </w:r>
          </w:p>
        </w:tc>
        <w:tc>
          <w:tcPr>
            <w:tcW w:w="1236"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154306,8</w:t>
            </w:r>
          </w:p>
        </w:tc>
        <w:tc>
          <w:tcPr>
            <w:tcW w:w="1234"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111,8</w:t>
            </w:r>
          </w:p>
        </w:tc>
      </w:tr>
      <w:tr w:rsidR="00E0567D" w:rsidRPr="00331DC2" w:rsidTr="00E0567D">
        <w:tc>
          <w:tcPr>
            <w:tcW w:w="5104"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 xml:space="preserve">- для прочих поклажедателей (152 дн) </w:t>
            </w:r>
          </w:p>
        </w:tc>
        <w:tc>
          <w:tcPr>
            <w:tcW w:w="1124"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84,68</w:t>
            </w:r>
          </w:p>
        </w:tc>
        <w:tc>
          <w:tcPr>
            <w:tcW w:w="1085" w:type="dxa"/>
          </w:tcPr>
          <w:p w:rsidR="00E0567D" w:rsidRPr="00331DC2" w:rsidRDefault="00E0567D" w:rsidP="00E0567D">
            <w:pPr>
              <w:contextualSpacing/>
              <w:jc w:val="both"/>
              <w:rPr>
                <w:rFonts w:ascii="Times New Roman" w:hAnsi="Times New Roman" w:cs="Times New Roman"/>
                <w:b/>
                <w:sz w:val="24"/>
                <w:szCs w:val="24"/>
              </w:rPr>
            </w:pPr>
            <w:r w:rsidRPr="00331DC2">
              <w:rPr>
                <w:rFonts w:ascii="Times New Roman" w:hAnsi="Times New Roman" w:cs="Times New Roman"/>
                <w:b/>
                <w:sz w:val="24"/>
                <w:szCs w:val="24"/>
              </w:rPr>
              <w:t>8,29</w:t>
            </w:r>
          </w:p>
        </w:tc>
        <w:tc>
          <w:tcPr>
            <w:tcW w:w="1236"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115829,5</w:t>
            </w:r>
          </w:p>
        </w:tc>
        <w:tc>
          <w:tcPr>
            <w:tcW w:w="1234"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131,2</w:t>
            </w:r>
          </w:p>
        </w:tc>
      </w:tr>
      <w:tr w:rsidR="00E0567D" w:rsidRPr="00331DC2" w:rsidTr="00E0567D">
        <w:tc>
          <w:tcPr>
            <w:tcW w:w="5104"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lastRenderedPageBreak/>
              <w:t xml:space="preserve">- АК «АЛРОСА» </w:t>
            </w:r>
          </w:p>
        </w:tc>
        <w:tc>
          <w:tcPr>
            <w:tcW w:w="1124"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152,24</w:t>
            </w:r>
          </w:p>
        </w:tc>
        <w:tc>
          <w:tcPr>
            <w:tcW w:w="1085" w:type="dxa"/>
          </w:tcPr>
          <w:p w:rsidR="00E0567D" w:rsidRPr="00331DC2" w:rsidRDefault="00E0567D" w:rsidP="00E0567D">
            <w:pPr>
              <w:contextualSpacing/>
              <w:jc w:val="both"/>
              <w:rPr>
                <w:rFonts w:ascii="Times New Roman" w:hAnsi="Times New Roman" w:cs="Times New Roman"/>
                <w:b/>
                <w:sz w:val="24"/>
                <w:szCs w:val="24"/>
              </w:rPr>
            </w:pPr>
            <w:r w:rsidRPr="00331DC2">
              <w:rPr>
                <w:rFonts w:ascii="Times New Roman" w:hAnsi="Times New Roman" w:cs="Times New Roman"/>
                <w:b/>
                <w:sz w:val="24"/>
                <w:szCs w:val="24"/>
              </w:rPr>
              <w:t>8,07</w:t>
            </w:r>
          </w:p>
        </w:tc>
        <w:tc>
          <w:tcPr>
            <w:tcW w:w="1236"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270288,7</w:t>
            </w:r>
          </w:p>
        </w:tc>
        <w:tc>
          <w:tcPr>
            <w:tcW w:w="1234"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140,1</w:t>
            </w:r>
          </w:p>
        </w:tc>
      </w:tr>
      <w:tr w:rsidR="00E0567D" w:rsidRPr="00331DC2" w:rsidTr="00E0567D">
        <w:tc>
          <w:tcPr>
            <w:tcW w:w="5104"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 xml:space="preserve">- для прочих поклажедателей  (152 дн) мелкие </w:t>
            </w:r>
          </w:p>
        </w:tc>
        <w:tc>
          <w:tcPr>
            <w:tcW w:w="1124"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69,7</w:t>
            </w:r>
          </w:p>
        </w:tc>
        <w:tc>
          <w:tcPr>
            <w:tcW w:w="1085" w:type="dxa"/>
          </w:tcPr>
          <w:p w:rsidR="00E0567D" w:rsidRPr="00331DC2" w:rsidRDefault="00E0567D" w:rsidP="00E0567D">
            <w:pPr>
              <w:contextualSpacing/>
              <w:jc w:val="both"/>
              <w:rPr>
                <w:rFonts w:ascii="Times New Roman" w:hAnsi="Times New Roman" w:cs="Times New Roman"/>
                <w:b/>
                <w:sz w:val="24"/>
                <w:szCs w:val="24"/>
              </w:rPr>
            </w:pPr>
            <w:r w:rsidRPr="00331DC2">
              <w:rPr>
                <w:rFonts w:ascii="Times New Roman" w:hAnsi="Times New Roman" w:cs="Times New Roman"/>
                <w:b/>
                <w:sz w:val="24"/>
                <w:szCs w:val="24"/>
              </w:rPr>
              <w:t>8,29</w:t>
            </w:r>
          </w:p>
        </w:tc>
        <w:tc>
          <w:tcPr>
            <w:tcW w:w="1236"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95339,1</w:t>
            </w:r>
          </w:p>
        </w:tc>
        <w:tc>
          <w:tcPr>
            <w:tcW w:w="1234"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94,3</w:t>
            </w:r>
          </w:p>
        </w:tc>
      </w:tr>
      <w:tr w:rsidR="00E0567D" w:rsidRPr="00331DC2" w:rsidTr="00E0567D">
        <w:tc>
          <w:tcPr>
            <w:tcW w:w="5104"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 страхового запаса(183 дн)</w:t>
            </w:r>
          </w:p>
        </w:tc>
        <w:tc>
          <w:tcPr>
            <w:tcW w:w="1124"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51,5</w:t>
            </w:r>
          </w:p>
        </w:tc>
        <w:tc>
          <w:tcPr>
            <w:tcW w:w="1085" w:type="dxa"/>
          </w:tcPr>
          <w:p w:rsidR="00E0567D" w:rsidRPr="00331DC2" w:rsidRDefault="00E0567D" w:rsidP="00E0567D">
            <w:pPr>
              <w:contextualSpacing/>
              <w:jc w:val="both"/>
              <w:rPr>
                <w:rFonts w:ascii="Times New Roman" w:hAnsi="Times New Roman" w:cs="Times New Roman"/>
                <w:b/>
                <w:sz w:val="24"/>
                <w:szCs w:val="24"/>
              </w:rPr>
            </w:pPr>
            <w:r w:rsidRPr="00331DC2">
              <w:rPr>
                <w:rFonts w:ascii="Times New Roman" w:hAnsi="Times New Roman" w:cs="Times New Roman"/>
                <w:b/>
                <w:sz w:val="24"/>
                <w:szCs w:val="24"/>
              </w:rPr>
              <w:t>1,21</w:t>
            </w:r>
          </w:p>
        </w:tc>
        <w:tc>
          <w:tcPr>
            <w:tcW w:w="1236"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22743,7</w:t>
            </w:r>
          </w:p>
        </w:tc>
        <w:tc>
          <w:tcPr>
            <w:tcW w:w="1234"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110,0</w:t>
            </w:r>
          </w:p>
        </w:tc>
      </w:tr>
      <w:tr w:rsidR="00E0567D" w:rsidRPr="00331DC2" w:rsidTr="00E0567D">
        <w:trPr>
          <w:trHeight w:val="154"/>
        </w:trPr>
        <w:tc>
          <w:tcPr>
            <w:tcW w:w="5104" w:type="dxa"/>
          </w:tcPr>
          <w:p w:rsidR="00E0567D" w:rsidRPr="00331DC2" w:rsidRDefault="00E0567D" w:rsidP="00E0567D">
            <w:pPr>
              <w:contextualSpacing/>
              <w:jc w:val="both"/>
              <w:rPr>
                <w:rFonts w:ascii="Times New Roman" w:hAnsi="Times New Roman" w:cs="Times New Roman"/>
                <w:sz w:val="24"/>
                <w:szCs w:val="24"/>
              </w:rPr>
            </w:pPr>
          </w:p>
        </w:tc>
        <w:tc>
          <w:tcPr>
            <w:tcW w:w="1124" w:type="dxa"/>
          </w:tcPr>
          <w:p w:rsidR="00E0567D" w:rsidRPr="00331DC2" w:rsidRDefault="00E0567D" w:rsidP="00E0567D">
            <w:pPr>
              <w:contextualSpacing/>
              <w:jc w:val="both"/>
              <w:rPr>
                <w:rFonts w:ascii="Times New Roman" w:hAnsi="Times New Roman" w:cs="Times New Roman"/>
                <w:sz w:val="24"/>
                <w:szCs w:val="24"/>
              </w:rPr>
            </w:pPr>
          </w:p>
        </w:tc>
        <w:tc>
          <w:tcPr>
            <w:tcW w:w="1085" w:type="dxa"/>
          </w:tcPr>
          <w:p w:rsidR="00E0567D" w:rsidRPr="00331DC2" w:rsidRDefault="00E0567D" w:rsidP="00E0567D">
            <w:pPr>
              <w:contextualSpacing/>
              <w:jc w:val="both"/>
              <w:rPr>
                <w:rFonts w:ascii="Times New Roman" w:hAnsi="Times New Roman" w:cs="Times New Roman"/>
                <w:sz w:val="24"/>
                <w:szCs w:val="24"/>
              </w:rPr>
            </w:pPr>
          </w:p>
        </w:tc>
        <w:tc>
          <w:tcPr>
            <w:tcW w:w="1236" w:type="dxa"/>
          </w:tcPr>
          <w:p w:rsidR="00E0567D" w:rsidRPr="00331DC2" w:rsidRDefault="00E0567D" w:rsidP="00E0567D">
            <w:pPr>
              <w:contextualSpacing/>
              <w:jc w:val="both"/>
              <w:rPr>
                <w:rFonts w:ascii="Times New Roman" w:hAnsi="Times New Roman" w:cs="Times New Roman"/>
                <w:sz w:val="24"/>
                <w:szCs w:val="24"/>
              </w:rPr>
            </w:pPr>
          </w:p>
        </w:tc>
        <w:tc>
          <w:tcPr>
            <w:tcW w:w="1234" w:type="dxa"/>
          </w:tcPr>
          <w:p w:rsidR="00E0567D" w:rsidRPr="00331DC2" w:rsidRDefault="00E0567D" w:rsidP="00E0567D">
            <w:pPr>
              <w:contextualSpacing/>
              <w:jc w:val="both"/>
              <w:rPr>
                <w:rFonts w:ascii="Times New Roman" w:hAnsi="Times New Roman" w:cs="Times New Roman"/>
                <w:sz w:val="24"/>
                <w:szCs w:val="24"/>
              </w:rPr>
            </w:pPr>
          </w:p>
        </w:tc>
      </w:tr>
      <w:tr w:rsidR="00E0567D" w:rsidRPr="00331DC2" w:rsidTr="00E0567D">
        <w:tc>
          <w:tcPr>
            <w:tcW w:w="5104" w:type="dxa"/>
          </w:tcPr>
          <w:p w:rsidR="00E0567D" w:rsidRPr="00331DC2" w:rsidRDefault="00E0567D" w:rsidP="00E0567D">
            <w:pPr>
              <w:contextualSpacing/>
              <w:jc w:val="both"/>
              <w:rPr>
                <w:rFonts w:ascii="Times New Roman" w:hAnsi="Times New Roman" w:cs="Times New Roman"/>
                <w:b/>
                <w:sz w:val="24"/>
                <w:szCs w:val="24"/>
              </w:rPr>
            </w:pPr>
            <w:r w:rsidRPr="00331DC2">
              <w:rPr>
                <w:rFonts w:ascii="Times New Roman" w:hAnsi="Times New Roman" w:cs="Times New Roman"/>
                <w:b/>
                <w:sz w:val="24"/>
                <w:szCs w:val="24"/>
              </w:rPr>
              <w:t xml:space="preserve">Реализация нефтепродуктов всего в т.ч. </w:t>
            </w:r>
          </w:p>
        </w:tc>
        <w:tc>
          <w:tcPr>
            <w:tcW w:w="1124" w:type="dxa"/>
          </w:tcPr>
          <w:p w:rsidR="00E0567D" w:rsidRPr="00331DC2" w:rsidRDefault="00E0567D" w:rsidP="00E0567D">
            <w:pPr>
              <w:contextualSpacing/>
              <w:jc w:val="both"/>
              <w:rPr>
                <w:rFonts w:ascii="Times New Roman" w:hAnsi="Times New Roman" w:cs="Times New Roman"/>
                <w:b/>
                <w:sz w:val="24"/>
                <w:szCs w:val="24"/>
              </w:rPr>
            </w:pPr>
            <w:r w:rsidRPr="00331DC2">
              <w:rPr>
                <w:rFonts w:ascii="Times New Roman" w:hAnsi="Times New Roman" w:cs="Times New Roman"/>
                <w:b/>
                <w:sz w:val="24"/>
                <w:szCs w:val="24"/>
              </w:rPr>
              <w:t>229,85</w:t>
            </w:r>
          </w:p>
        </w:tc>
        <w:tc>
          <w:tcPr>
            <w:tcW w:w="1085" w:type="dxa"/>
          </w:tcPr>
          <w:p w:rsidR="00E0567D" w:rsidRPr="00331DC2" w:rsidRDefault="00E0567D" w:rsidP="00E0567D">
            <w:pPr>
              <w:contextualSpacing/>
              <w:jc w:val="both"/>
              <w:rPr>
                <w:rFonts w:ascii="Times New Roman" w:hAnsi="Times New Roman" w:cs="Times New Roman"/>
                <w:b/>
                <w:sz w:val="24"/>
                <w:szCs w:val="24"/>
              </w:rPr>
            </w:pPr>
          </w:p>
        </w:tc>
        <w:tc>
          <w:tcPr>
            <w:tcW w:w="1236" w:type="dxa"/>
          </w:tcPr>
          <w:p w:rsidR="00E0567D" w:rsidRPr="00331DC2" w:rsidRDefault="00E0567D" w:rsidP="00E0567D">
            <w:pPr>
              <w:contextualSpacing/>
              <w:jc w:val="both"/>
              <w:rPr>
                <w:rFonts w:ascii="Times New Roman" w:hAnsi="Times New Roman" w:cs="Times New Roman"/>
                <w:b/>
                <w:sz w:val="24"/>
                <w:szCs w:val="24"/>
              </w:rPr>
            </w:pPr>
            <w:r w:rsidRPr="00331DC2">
              <w:rPr>
                <w:rFonts w:ascii="Times New Roman" w:hAnsi="Times New Roman" w:cs="Times New Roman"/>
                <w:b/>
                <w:sz w:val="24"/>
                <w:szCs w:val="24"/>
              </w:rPr>
              <w:t>546875,4</w:t>
            </w:r>
          </w:p>
        </w:tc>
        <w:tc>
          <w:tcPr>
            <w:tcW w:w="1234" w:type="dxa"/>
          </w:tcPr>
          <w:p w:rsidR="00E0567D" w:rsidRPr="00331DC2" w:rsidRDefault="00E0567D" w:rsidP="00E0567D">
            <w:pPr>
              <w:contextualSpacing/>
              <w:jc w:val="both"/>
              <w:rPr>
                <w:rFonts w:ascii="Times New Roman" w:hAnsi="Times New Roman" w:cs="Times New Roman"/>
                <w:b/>
                <w:sz w:val="24"/>
                <w:szCs w:val="24"/>
              </w:rPr>
            </w:pPr>
          </w:p>
        </w:tc>
      </w:tr>
      <w:tr w:rsidR="00E0567D" w:rsidRPr="00331DC2" w:rsidTr="00E0567D">
        <w:tc>
          <w:tcPr>
            <w:tcW w:w="5104"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 xml:space="preserve">- для гос. нужд </w:t>
            </w:r>
          </w:p>
        </w:tc>
        <w:tc>
          <w:tcPr>
            <w:tcW w:w="1124"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84,9</w:t>
            </w:r>
          </w:p>
        </w:tc>
        <w:tc>
          <w:tcPr>
            <w:tcW w:w="1085"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1475,1</w:t>
            </w:r>
          </w:p>
        </w:tc>
        <w:tc>
          <w:tcPr>
            <w:tcW w:w="1236"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125236</w:t>
            </w:r>
          </w:p>
        </w:tc>
        <w:tc>
          <w:tcPr>
            <w:tcW w:w="1234"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151,8</w:t>
            </w:r>
          </w:p>
        </w:tc>
      </w:tr>
      <w:tr w:rsidR="00E0567D" w:rsidRPr="00331DC2" w:rsidTr="00E0567D">
        <w:tc>
          <w:tcPr>
            <w:tcW w:w="5104" w:type="dxa"/>
          </w:tcPr>
          <w:p w:rsidR="00E0567D" w:rsidRPr="00331DC2" w:rsidRDefault="00E0567D" w:rsidP="00E0567D">
            <w:pPr>
              <w:tabs>
                <w:tab w:val="left" w:pos="176"/>
              </w:tabs>
              <w:contextualSpacing/>
              <w:jc w:val="both"/>
              <w:rPr>
                <w:rFonts w:ascii="Times New Roman" w:hAnsi="Times New Roman" w:cs="Times New Roman"/>
                <w:sz w:val="24"/>
                <w:szCs w:val="24"/>
              </w:rPr>
            </w:pPr>
            <w:r w:rsidRPr="00331DC2">
              <w:rPr>
                <w:rFonts w:ascii="Times New Roman" w:hAnsi="Times New Roman" w:cs="Times New Roman"/>
                <w:sz w:val="24"/>
                <w:szCs w:val="24"/>
              </w:rPr>
              <w:t xml:space="preserve">- коммерческая реализация нефтепродуктов СНГС </w:t>
            </w:r>
          </w:p>
        </w:tc>
        <w:tc>
          <w:tcPr>
            <w:tcW w:w="1124"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104,05</w:t>
            </w:r>
          </w:p>
        </w:tc>
        <w:tc>
          <w:tcPr>
            <w:tcW w:w="1085" w:type="dxa"/>
          </w:tcPr>
          <w:p w:rsidR="00E0567D" w:rsidRPr="00331DC2" w:rsidRDefault="00E0567D" w:rsidP="00E0567D">
            <w:pPr>
              <w:contextualSpacing/>
              <w:jc w:val="both"/>
              <w:rPr>
                <w:rFonts w:ascii="Times New Roman" w:hAnsi="Times New Roman" w:cs="Times New Roman"/>
                <w:sz w:val="24"/>
                <w:szCs w:val="24"/>
              </w:rPr>
            </w:pPr>
          </w:p>
        </w:tc>
        <w:tc>
          <w:tcPr>
            <w:tcW w:w="1236" w:type="dxa"/>
          </w:tcPr>
          <w:p w:rsidR="00E0567D" w:rsidRPr="00331DC2" w:rsidRDefault="00E0567D" w:rsidP="00E0567D">
            <w:pPr>
              <w:contextualSpacing/>
              <w:jc w:val="both"/>
              <w:rPr>
                <w:rFonts w:ascii="Times New Roman" w:hAnsi="Times New Roman" w:cs="Times New Roman"/>
                <w:sz w:val="24"/>
                <w:szCs w:val="24"/>
              </w:rPr>
            </w:pPr>
          </w:p>
        </w:tc>
        <w:tc>
          <w:tcPr>
            <w:tcW w:w="1234" w:type="dxa"/>
          </w:tcPr>
          <w:p w:rsidR="00E0567D" w:rsidRPr="00331DC2" w:rsidRDefault="00E0567D" w:rsidP="00E0567D">
            <w:pPr>
              <w:contextualSpacing/>
              <w:jc w:val="both"/>
              <w:rPr>
                <w:rFonts w:ascii="Times New Roman" w:hAnsi="Times New Roman" w:cs="Times New Roman"/>
                <w:sz w:val="24"/>
                <w:szCs w:val="24"/>
              </w:rPr>
            </w:pPr>
          </w:p>
        </w:tc>
      </w:tr>
      <w:tr w:rsidR="00E0567D" w:rsidRPr="00331DC2" w:rsidTr="00E0567D">
        <w:tc>
          <w:tcPr>
            <w:tcW w:w="5104"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 xml:space="preserve">в т.ч. розничная реализация нефтепродуктов </w:t>
            </w:r>
          </w:p>
        </w:tc>
        <w:tc>
          <w:tcPr>
            <w:tcW w:w="1124"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82,85</w:t>
            </w:r>
          </w:p>
        </w:tc>
        <w:tc>
          <w:tcPr>
            <w:tcW w:w="1085"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3873,85</w:t>
            </w:r>
          </w:p>
        </w:tc>
        <w:tc>
          <w:tcPr>
            <w:tcW w:w="1236"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320948,5</w:t>
            </w:r>
          </w:p>
        </w:tc>
        <w:tc>
          <w:tcPr>
            <w:tcW w:w="1234"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110,5</w:t>
            </w:r>
          </w:p>
        </w:tc>
      </w:tr>
      <w:tr w:rsidR="00E0567D" w:rsidRPr="00331DC2" w:rsidTr="00E0567D">
        <w:tc>
          <w:tcPr>
            <w:tcW w:w="5104"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 xml:space="preserve">в т.ч. оптовая реализация нефтепродуктов   </w:t>
            </w:r>
          </w:p>
        </w:tc>
        <w:tc>
          <w:tcPr>
            <w:tcW w:w="1124"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21,2</w:t>
            </w:r>
          </w:p>
        </w:tc>
        <w:tc>
          <w:tcPr>
            <w:tcW w:w="1085"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2700,8</w:t>
            </w:r>
          </w:p>
        </w:tc>
        <w:tc>
          <w:tcPr>
            <w:tcW w:w="1236"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57257</w:t>
            </w:r>
          </w:p>
        </w:tc>
        <w:tc>
          <w:tcPr>
            <w:tcW w:w="1234"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100,0</w:t>
            </w:r>
          </w:p>
        </w:tc>
      </w:tr>
      <w:tr w:rsidR="00E0567D" w:rsidRPr="00331DC2" w:rsidTr="00E0567D">
        <w:trPr>
          <w:trHeight w:val="131"/>
        </w:trPr>
        <w:tc>
          <w:tcPr>
            <w:tcW w:w="5104" w:type="dxa"/>
          </w:tcPr>
          <w:p w:rsidR="00E0567D" w:rsidRPr="00331DC2" w:rsidRDefault="00E0567D" w:rsidP="00E0567D">
            <w:pPr>
              <w:contextualSpacing/>
              <w:jc w:val="both"/>
              <w:rPr>
                <w:rFonts w:ascii="Times New Roman" w:hAnsi="Times New Roman" w:cs="Times New Roman"/>
                <w:sz w:val="24"/>
                <w:szCs w:val="24"/>
              </w:rPr>
            </w:pPr>
          </w:p>
        </w:tc>
        <w:tc>
          <w:tcPr>
            <w:tcW w:w="1124" w:type="dxa"/>
          </w:tcPr>
          <w:p w:rsidR="00E0567D" w:rsidRPr="00331DC2" w:rsidRDefault="00E0567D" w:rsidP="00E0567D">
            <w:pPr>
              <w:contextualSpacing/>
              <w:jc w:val="both"/>
              <w:rPr>
                <w:rFonts w:ascii="Times New Roman" w:hAnsi="Times New Roman" w:cs="Times New Roman"/>
                <w:sz w:val="24"/>
                <w:szCs w:val="24"/>
              </w:rPr>
            </w:pPr>
          </w:p>
        </w:tc>
        <w:tc>
          <w:tcPr>
            <w:tcW w:w="1085" w:type="dxa"/>
          </w:tcPr>
          <w:p w:rsidR="00E0567D" w:rsidRPr="00331DC2" w:rsidRDefault="00E0567D" w:rsidP="00E0567D">
            <w:pPr>
              <w:contextualSpacing/>
              <w:jc w:val="both"/>
              <w:rPr>
                <w:rFonts w:ascii="Times New Roman" w:hAnsi="Times New Roman" w:cs="Times New Roman"/>
                <w:sz w:val="24"/>
                <w:szCs w:val="24"/>
              </w:rPr>
            </w:pPr>
          </w:p>
        </w:tc>
        <w:tc>
          <w:tcPr>
            <w:tcW w:w="1236" w:type="dxa"/>
          </w:tcPr>
          <w:p w:rsidR="00E0567D" w:rsidRPr="00331DC2" w:rsidRDefault="00E0567D" w:rsidP="00E0567D">
            <w:pPr>
              <w:contextualSpacing/>
              <w:jc w:val="both"/>
              <w:rPr>
                <w:rFonts w:ascii="Times New Roman" w:hAnsi="Times New Roman" w:cs="Times New Roman"/>
                <w:sz w:val="24"/>
                <w:szCs w:val="24"/>
              </w:rPr>
            </w:pPr>
          </w:p>
        </w:tc>
        <w:tc>
          <w:tcPr>
            <w:tcW w:w="1234" w:type="dxa"/>
          </w:tcPr>
          <w:p w:rsidR="00E0567D" w:rsidRPr="00331DC2" w:rsidRDefault="00E0567D" w:rsidP="00E0567D">
            <w:pPr>
              <w:contextualSpacing/>
              <w:jc w:val="both"/>
              <w:rPr>
                <w:rFonts w:ascii="Times New Roman" w:hAnsi="Times New Roman" w:cs="Times New Roman"/>
                <w:sz w:val="24"/>
                <w:szCs w:val="24"/>
              </w:rPr>
            </w:pPr>
          </w:p>
        </w:tc>
      </w:tr>
      <w:tr w:rsidR="00E0567D" w:rsidRPr="00331DC2" w:rsidTr="00E0567D">
        <w:tc>
          <w:tcPr>
            <w:tcW w:w="5104" w:type="dxa"/>
          </w:tcPr>
          <w:p w:rsidR="00E0567D" w:rsidRPr="00331DC2" w:rsidRDefault="00E0567D" w:rsidP="00E0567D">
            <w:pPr>
              <w:contextualSpacing/>
              <w:jc w:val="both"/>
              <w:rPr>
                <w:rFonts w:ascii="Times New Roman" w:hAnsi="Times New Roman" w:cs="Times New Roman"/>
                <w:b/>
                <w:sz w:val="24"/>
                <w:szCs w:val="24"/>
              </w:rPr>
            </w:pPr>
            <w:r w:rsidRPr="00331DC2">
              <w:rPr>
                <w:rFonts w:ascii="Times New Roman" w:hAnsi="Times New Roman" w:cs="Times New Roman"/>
                <w:b/>
                <w:sz w:val="24"/>
                <w:szCs w:val="24"/>
              </w:rPr>
              <w:t xml:space="preserve">Оказание услуг через АЗС </w:t>
            </w:r>
          </w:p>
        </w:tc>
        <w:tc>
          <w:tcPr>
            <w:tcW w:w="1124" w:type="dxa"/>
          </w:tcPr>
          <w:p w:rsidR="00E0567D" w:rsidRPr="00331DC2" w:rsidRDefault="00E0567D" w:rsidP="00E0567D">
            <w:pPr>
              <w:contextualSpacing/>
              <w:jc w:val="both"/>
              <w:rPr>
                <w:rFonts w:ascii="Times New Roman" w:hAnsi="Times New Roman" w:cs="Times New Roman"/>
                <w:b/>
                <w:sz w:val="24"/>
                <w:szCs w:val="24"/>
              </w:rPr>
            </w:pPr>
            <w:r w:rsidRPr="00331DC2">
              <w:rPr>
                <w:rFonts w:ascii="Times New Roman" w:hAnsi="Times New Roman" w:cs="Times New Roman"/>
                <w:b/>
                <w:sz w:val="24"/>
                <w:szCs w:val="24"/>
              </w:rPr>
              <w:t>40,9</w:t>
            </w:r>
          </w:p>
        </w:tc>
        <w:tc>
          <w:tcPr>
            <w:tcW w:w="1085" w:type="dxa"/>
          </w:tcPr>
          <w:p w:rsidR="00E0567D" w:rsidRPr="00331DC2" w:rsidRDefault="00E0567D" w:rsidP="00E0567D">
            <w:pPr>
              <w:contextualSpacing/>
              <w:jc w:val="both"/>
              <w:rPr>
                <w:rFonts w:ascii="Times New Roman" w:hAnsi="Times New Roman" w:cs="Times New Roman"/>
                <w:b/>
                <w:sz w:val="24"/>
                <w:szCs w:val="24"/>
              </w:rPr>
            </w:pPr>
            <w:r w:rsidRPr="00331DC2">
              <w:rPr>
                <w:rFonts w:ascii="Times New Roman" w:hAnsi="Times New Roman" w:cs="Times New Roman"/>
                <w:b/>
                <w:sz w:val="24"/>
                <w:szCs w:val="24"/>
              </w:rPr>
              <w:t>1061,96</w:t>
            </w:r>
          </w:p>
        </w:tc>
        <w:tc>
          <w:tcPr>
            <w:tcW w:w="1236" w:type="dxa"/>
          </w:tcPr>
          <w:p w:rsidR="00E0567D" w:rsidRPr="00331DC2" w:rsidRDefault="00E0567D" w:rsidP="00E0567D">
            <w:pPr>
              <w:contextualSpacing/>
              <w:jc w:val="both"/>
              <w:rPr>
                <w:rFonts w:ascii="Times New Roman" w:hAnsi="Times New Roman" w:cs="Times New Roman"/>
                <w:b/>
                <w:sz w:val="24"/>
                <w:szCs w:val="24"/>
              </w:rPr>
            </w:pPr>
            <w:r w:rsidRPr="00331DC2">
              <w:rPr>
                <w:rFonts w:ascii="Times New Roman" w:hAnsi="Times New Roman" w:cs="Times New Roman"/>
                <w:b/>
                <w:sz w:val="24"/>
                <w:szCs w:val="24"/>
              </w:rPr>
              <w:t>43434</w:t>
            </w:r>
          </w:p>
        </w:tc>
        <w:tc>
          <w:tcPr>
            <w:tcW w:w="1234" w:type="dxa"/>
          </w:tcPr>
          <w:p w:rsidR="00E0567D" w:rsidRPr="00331DC2" w:rsidRDefault="00E0567D" w:rsidP="00E0567D">
            <w:pPr>
              <w:contextualSpacing/>
              <w:jc w:val="both"/>
              <w:rPr>
                <w:rFonts w:ascii="Times New Roman" w:hAnsi="Times New Roman" w:cs="Times New Roman"/>
                <w:b/>
                <w:sz w:val="24"/>
                <w:szCs w:val="24"/>
              </w:rPr>
            </w:pPr>
            <w:r w:rsidRPr="00331DC2">
              <w:rPr>
                <w:rFonts w:ascii="Times New Roman" w:hAnsi="Times New Roman" w:cs="Times New Roman"/>
                <w:b/>
                <w:sz w:val="24"/>
                <w:szCs w:val="24"/>
              </w:rPr>
              <w:t>131,9</w:t>
            </w:r>
          </w:p>
        </w:tc>
      </w:tr>
      <w:tr w:rsidR="00E0567D" w:rsidRPr="00331DC2" w:rsidTr="00E0567D">
        <w:tc>
          <w:tcPr>
            <w:tcW w:w="5104" w:type="dxa"/>
          </w:tcPr>
          <w:p w:rsidR="00E0567D" w:rsidRPr="00331DC2" w:rsidRDefault="00E0567D" w:rsidP="00E0567D">
            <w:pPr>
              <w:contextualSpacing/>
              <w:jc w:val="both"/>
              <w:rPr>
                <w:rFonts w:ascii="Times New Roman" w:hAnsi="Times New Roman" w:cs="Times New Roman"/>
                <w:sz w:val="24"/>
                <w:szCs w:val="24"/>
              </w:rPr>
            </w:pPr>
          </w:p>
        </w:tc>
        <w:tc>
          <w:tcPr>
            <w:tcW w:w="1124"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20,45</w:t>
            </w:r>
          </w:p>
        </w:tc>
        <w:tc>
          <w:tcPr>
            <w:tcW w:w="1085"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965,87</w:t>
            </w:r>
          </w:p>
        </w:tc>
        <w:tc>
          <w:tcPr>
            <w:tcW w:w="1236"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19752</w:t>
            </w:r>
          </w:p>
        </w:tc>
        <w:tc>
          <w:tcPr>
            <w:tcW w:w="1234" w:type="dxa"/>
          </w:tcPr>
          <w:p w:rsidR="00E0567D" w:rsidRPr="00331DC2" w:rsidRDefault="00E0567D" w:rsidP="00E0567D">
            <w:pPr>
              <w:contextualSpacing/>
              <w:jc w:val="both"/>
              <w:rPr>
                <w:rFonts w:ascii="Times New Roman" w:hAnsi="Times New Roman" w:cs="Times New Roman"/>
                <w:sz w:val="24"/>
                <w:szCs w:val="24"/>
              </w:rPr>
            </w:pPr>
          </w:p>
        </w:tc>
      </w:tr>
      <w:tr w:rsidR="00E0567D" w:rsidRPr="00331DC2" w:rsidTr="00E0567D">
        <w:tc>
          <w:tcPr>
            <w:tcW w:w="5104" w:type="dxa"/>
          </w:tcPr>
          <w:p w:rsidR="00E0567D" w:rsidRPr="00331DC2" w:rsidRDefault="00E0567D" w:rsidP="00E0567D">
            <w:pPr>
              <w:contextualSpacing/>
              <w:jc w:val="both"/>
              <w:rPr>
                <w:rFonts w:ascii="Times New Roman" w:hAnsi="Times New Roman" w:cs="Times New Roman"/>
                <w:sz w:val="24"/>
                <w:szCs w:val="24"/>
              </w:rPr>
            </w:pPr>
          </w:p>
        </w:tc>
        <w:tc>
          <w:tcPr>
            <w:tcW w:w="1124"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20,45</w:t>
            </w:r>
          </w:p>
        </w:tc>
        <w:tc>
          <w:tcPr>
            <w:tcW w:w="1085"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1158,04</w:t>
            </w:r>
          </w:p>
        </w:tc>
        <w:tc>
          <w:tcPr>
            <w:tcW w:w="1236"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23681,9</w:t>
            </w:r>
          </w:p>
        </w:tc>
        <w:tc>
          <w:tcPr>
            <w:tcW w:w="1234" w:type="dxa"/>
          </w:tcPr>
          <w:p w:rsidR="00E0567D" w:rsidRPr="00331DC2" w:rsidRDefault="00E0567D" w:rsidP="00E0567D">
            <w:pPr>
              <w:contextualSpacing/>
              <w:jc w:val="both"/>
              <w:rPr>
                <w:rFonts w:ascii="Times New Roman" w:hAnsi="Times New Roman" w:cs="Times New Roman"/>
                <w:sz w:val="24"/>
                <w:szCs w:val="24"/>
              </w:rPr>
            </w:pPr>
          </w:p>
        </w:tc>
      </w:tr>
      <w:tr w:rsidR="00E0567D" w:rsidRPr="00331DC2" w:rsidTr="00E0567D">
        <w:tc>
          <w:tcPr>
            <w:tcW w:w="5104"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 xml:space="preserve">ВСЕГО </w:t>
            </w:r>
          </w:p>
        </w:tc>
        <w:tc>
          <w:tcPr>
            <w:tcW w:w="1124"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811,1</w:t>
            </w:r>
          </w:p>
        </w:tc>
        <w:tc>
          <w:tcPr>
            <w:tcW w:w="1085" w:type="dxa"/>
          </w:tcPr>
          <w:p w:rsidR="00E0567D" w:rsidRPr="00331DC2" w:rsidRDefault="00E0567D" w:rsidP="00E0567D">
            <w:pPr>
              <w:contextualSpacing/>
              <w:jc w:val="both"/>
              <w:rPr>
                <w:rFonts w:ascii="Times New Roman" w:hAnsi="Times New Roman" w:cs="Times New Roman"/>
                <w:sz w:val="24"/>
                <w:szCs w:val="24"/>
              </w:rPr>
            </w:pPr>
          </w:p>
        </w:tc>
        <w:tc>
          <w:tcPr>
            <w:tcW w:w="1236"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1628724,2</w:t>
            </w:r>
          </w:p>
        </w:tc>
        <w:tc>
          <w:tcPr>
            <w:tcW w:w="1234" w:type="dxa"/>
          </w:tcPr>
          <w:p w:rsidR="00E0567D" w:rsidRPr="00331DC2" w:rsidRDefault="00E0567D" w:rsidP="00E0567D">
            <w:pPr>
              <w:contextualSpacing/>
              <w:jc w:val="both"/>
              <w:rPr>
                <w:rFonts w:ascii="Times New Roman" w:hAnsi="Times New Roman" w:cs="Times New Roman"/>
                <w:sz w:val="24"/>
                <w:szCs w:val="24"/>
              </w:rPr>
            </w:pPr>
          </w:p>
        </w:tc>
      </w:tr>
    </w:tbl>
    <w:p w:rsidR="00E0567D" w:rsidRPr="00331DC2" w:rsidRDefault="00E0567D" w:rsidP="00E0567D">
      <w:pPr>
        <w:pStyle w:val="af"/>
        <w:ind w:firstLine="709"/>
        <w:jc w:val="both"/>
        <w:rPr>
          <w:rFonts w:cs="Times New Roman"/>
          <w:lang w:val="ru-RU"/>
        </w:rPr>
      </w:pPr>
    </w:p>
    <w:p w:rsidR="00E0567D" w:rsidRPr="00331DC2" w:rsidRDefault="00E0567D" w:rsidP="00E0567D">
      <w:pPr>
        <w:ind w:firstLine="567"/>
        <w:contextualSpacing/>
        <w:jc w:val="both"/>
        <w:rPr>
          <w:rFonts w:ascii="Times New Roman" w:hAnsi="Times New Roman" w:cs="Times New Roman"/>
          <w:sz w:val="24"/>
          <w:szCs w:val="24"/>
        </w:rPr>
      </w:pPr>
      <w:r w:rsidRPr="00331DC2">
        <w:rPr>
          <w:rFonts w:ascii="Times New Roman" w:hAnsi="Times New Roman" w:cs="Times New Roman"/>
          <w:sz w:val="24"/>
          <w:szCs w:val="24"/>
        </w:rPr>
        <w:t xml:space="preserve">Исходя из плановых показателей объема приемо-складских услуг и услуг по хранению и валового необходимого дохода по видам деятельности по ОАО «Саханефтегазсбыт» на 2011 год, себестоимость услуг составляет: </w:t>
      </w:r>
    </w:p>
    <w:p w:rsidR="00E0567D" w:rsidRPr="00331DC2" w:rsidRDefault="00E0567D" w:rsidP="00E0567D">
      <w:pPr>
        <w:ind w:firstLine="567"/>
        <w:contextualSpacing/>
        <w:jc w:val="both"/>
        <w:rPr>
          <w:rFonts w:ascii="Times New Roman" w:hAnsi="Times New Roman" w:cs="Times New Roman"/>
          <w:sz w:val="24"/>
          <w:szCs w:val="24"/>
        </w:rPr>
      </w:pPr>
      <w:r w:rsidRPr="00331DC2">
        <w:rPr>
          <w:rFonts w:ascii="Times New Roman" w:hAnsi="Times New Roman" w:cs="Times New Roman"/>
          <w:sz w:val="24"/>
          <w:szCs w:val="24"/>
        </w:rPr>
        <w:t xml:space="preserve">- по приемо-складским операциям (по аналогии с услугами по хранению - ставка тарифа на ПСО определяется путем деления плановой тарифной выручки (руб.) на планируемый объем приема нефтепродуктов за год (тн)) – 728,33 руб. за 1 тн. (423341 тыс. руб./581,25 тыс.тн.); </w:t>
      </w:r>
    </w:p>
    <w:p w:rsidR="00E0567D" w:rsidRDefault="00E0567D" w:rsidP="00E0567D">
      <w:pPr>
        <w:ind w:firstLine="567"/>
        <w:contextualSpacing/>
        <w:jc w:val="both"/>
        <w:rPr>
          <w:rFonts w:ascii="Times New Roman" w:hAnsi="Times New Roman" w:cs="Times New Roman"/>
          <w:sz w:val="24"/>
          <w:szCs w:val="24"/>
        </w:rPr>
      </w:pPr>
      <w:r w:rsidRPr="00331DC2">
        <w:rPr>
          <w:rFonts w:ascii="Times New Roman" w:hAnsi="Times New Roman" w:cs="Times New Roman"/>
          <w:sz w:val="24"/>
          <w:szCs w:val="24"/>
        </w:rPr>
        <w:t>- услуги по хранению – 6,61 руб. за 1 тн/сут. (658507,8 тыс.руб./501,83 тыс.тн/средний срок хранения 198,5 дней).</w:t>
      </w:r>
    </w:p>
    <w:p w:rsidR="00E0567D" w:rsidRPr="00331DC2" w:rsidRDefault="00E0567D" w:rsidP="00E0567D">
      <w:pPr>
        <w:ind w:firstLine="567"/>
        <w:contextualSpacing/>
        <w:jc w:val="both"/>
        <w:rPr>
          <w:rFonts w:ascii="Times New Roman" w:hAnsi="Times New Roman" w:cs="Times New Roman"/>
          <w:sz w:val="24"/>
          <w:szCs w:val="24"/>
        </w:rPr>
      </w:pPr>
      <w:r w:rsidRPr="00331DC2">
        <w:rPr>
          <w:rFonts w:ascii="Times New Roman" w:hAnsi="Times New Roman" w:cs="Times New Roman"/>
          <w:sz w:val="24"/>
          <w:szCs w:val="24"/>
        </w:rPr>
        <w:t>При расчете необходимых для осуществления безубыточной деятельности предприятия сумма необходимой прибыли при расчете тарифа по приемо-складским операциям полностью отнесена на издержки на нефтепродукты, кроме местного топлива и для сельхозтоваропроизводителей, в отличие от иных статей расходов, распределенных между двумя критериями нефтепродуктов (таблица 2).</w:t>
      </w:r>
    </w:p>
    <w:p w:rsidR="00E0567D"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Также при расчете тарифа на услуги хранения нефтепродуктов необходимая прибыль по виду деятельности обеспечена за счет прочих поклажедателей и АК «АЛРОСА» (таблица 1).</w:t>
      </w:r>
    </w:p>
    <w:p w:rsidR="00E0567D" w:rsidRDefault="00E0567D" w:rsidP="00E0567D">
      <w:pPr>
        <w:spacing w:line="240" w:lineRule="auto"/>
        <w:ind w:firstLine="567"/>
        <w:contextualSpacing/>
        <w:jc w:val="both"/>
        <w:rPr>
          <w:rFonts w:ascii="Times New Roman" w:hAnsi="Times New Roman" w:cs="Times New Roman"/>
          <w:sz w:val="24"/>
          <w:szCs w:val="24"/>
        </w:rPr>
      </w:pPr>
      <w:r w:rsidRPr="00331DC2">
        <w:rPr>
          <w:rFonts w:ascii="Times New Roman" w:hAnsi="Times New Roman" w:cs="Times New Roman"/>
          <w:sz w:val="24"/>
          <w:szCs w:val="24"/>
        </w:rPr>
        <w:t>При себестоимости услуг по приемо-складским операциям в размере 728,33 руб. за 1 тн., тариф по нефтепродуктам, кроме местного топлива, ОАО «Саханефтегазсбыт» установлен в размере 774,95 руб.</w:t>
      </w:r>
    </w:p>
    <w:p w:rsidR="00E0567D" w:rsidRDefault="00E0567D" w:rsidP="00E0567D">
      <w:pPr>
        <w:spacing w:line="240" w:lineRule="auto"/>
        <w:ind w:firstLine="567"/>
        <w:contextualSpacing/>
        <w:jc w:val="both"/>
        <w:rPr>
          <w:rFonts w:ascii="Times New Roman" w:hAnsi="Times New Roman" w:cs="Times New Roman"/>
          <w:sz w:val="24"/>
          <w:szCs w:val="24"/>
        </w:rPr>
      </w:pPr>
      <w:r w:rsidRPr="00331DC2">
        <w:rPr>
          <w:rFonts w:ascii="Times New Roman" w:hAnsi="Times New Roman" w:cs="Times New Roman"/>
          <w:sz w:val="24"/>
          <w:szCs w:val="24"/>
        </w:rPr>
        <w:t>При себестоимости услуг по хранению нефтепродуктов 6,61 руб. за 1 тн./сут. ОАО «Саханефтегазсбыт» установлен тариф для местного топлива – 7,06 руб./сут., прочих поклажедателей и АК «АЛРОСА» – 8,29 руб./сут.</w:t>
      </w:r>
    </w:p>
    <w:p w:rsidR="00E0567D" w:rsidRPr="00792144" w:rsidRDefault="00E0567D" w:rsidP="00E0567D">
      <w:pPr>
        <w:spacing w:after="0" w:line="240" w:lineRule="auto"/>
        <w:ind w:firstLine="567"/>
        <w:contextualSpacing/>
        <w:jc w:val="both"/>
        <w:rPr>
          <w:rFonts w:ascii="Times New Roman" w:hAnsi="Times New Roman" w:cs="Times New Roman"/>
          <w:sz w:val="24"/>
          <w:szCs w:val="24"/>
        </w:rPr>
      </w:pPr>
      <w:r w:rsidRPr="00792144">
        <w:rPr>
          <w:rFonts w:ascii="Times New Roman" w:hAnsi="Times New Roman" w:cs="Times New Roman"/>
          <w:sz w:val="24"/>
          <w:szCs w:val="24"/>
        </w:rPr>
        <w:t>На основании выше изложенного, Комиссия пришла к следующим выводам:</w:t>
      </w:r>
    </w:p>
    <w:p w:rsidR="00E0567D" w:rsidRPr="00331DC2" w:rsidRDefault="00E0567D" w:rsidP="00E0567D">
      <w:pPr>
        <w:pStyle w:val="af"/>
        <w:ind w:firstLine="709"/>
        <w:contextualSpacing/>
        <w:jc w:val="both"/>
        <w:rPr>
          <w:rFonts w:cs="Times New Roman"/>
          <w:lang w:val="ru-RU"/>
        </w:rPr>
      </w:pPr>
      <w:r w:rsidRPr="00331DC2">
        <w:rPr>
          <w:rFonts w:cs="Times New Roman"/>
          <w:lang w:val="ru-RU"/>
        </w:rPr>
        <w:t>1. Себестоимость услуг по приемо-складским операциям нефтепродуктов, кроме местного топлива, превышает сумму необходимых расходов для производства и реализации услуги, в том числе за счет отнесения расходов, включенных в сумму необходимой прибыли, полностью без распределения на местное топливо.</w:t>
      </w:r>
    </w:p>
    <w:p w:rsidR="00E0567D" w:rsidRPr="00331DC2" w:rsidRDefault="00E0567D" w:rsidP="00E0567D">
      <w:pPr>
        <w:pStyle w:val="af"/>
        <w:ind w:firstLine="709"/>
        <w:contextualSpacing/>
        <w:jc w:val="both"/>
        <w:rPr>
          <w:rFonts w:cs="Times New Roman"/>
          <w:lang w:val="ru-RU"/>
        </w:rPr>
      </w:pPr>
      <w:r w:rsidRPr="00331DC2">
        <w:rPr>
          <w:rFonts w:cs="Times New Roman"/>
          <w:lang w:val="ru-RU"/>
        </w:rPr>
        <w:t xml:space="preserve">2. Себестоимость услуг хранения нефтепродуктов прочих поклажедателей и АК «АЛРОСА» превышает сумму необходимых расходов для производства и реализации </w:t>
      </w:r>
      <w:r w:rsidRPr="00331DC2">
        <w:rPr>
          <w:rFonts w:cs="Times New Roman"/>
          <w:lang w:val="ru-RU"/>
        </w:rPr>
        <w:lastRenderedPageBreak/>
        <w:t>услуг, в том числе за счет отнесения расходов, включенных в сумму необходимой прибыли, полностью без распределения на местное топливо, нефтепродукты страхового запаса и «госнужд».</w:t>
      </w:r>
    </w:p>
    <w:p w:rsidR="00E0567D" w:rsidRPr="00792144" w:rsidRDefault="00E0567D" w:rsidP="00E0567D">
      <w:pPr>
        <w:pStyle w:val="af"/>
        <w:ind w:firstLine="709"/>
        <w:contextualSpacing/>
        <w:jc w:val="both"/>
        <w:rPr>
          <w:rFonts w:cs="Times New Roman"/>
          <w:lang w:val="ru-RU"/>
        </w:rPr>
      </w:pPr>
      <w:r w:rsidRPr="00331DC2">
        <w:rPr>
          <w:rFonts w:cs="Times New Roman"/>
          <w:lang w:val="ru-RU"/>
        </w:rPr>
        <w:t xml:space="preserve">Таким образом, в действиях ОАО «Саханефтегазсбыт» при установлении тарифов на услуги хранения нефтепродуктов по прочим поклажедателям и АК «АЛРОСА» и на приемо-складские операции по нефтепродуктам, кроме местного топлива, приказами от 29.12.2010 №616, 617 и №617а содержатся признаки нарушения пункта части 1 статьи 10 Федерального закона от 26.07.2006 г. №135-ФЗ «О защите конкуренции». </w:t>
      </w:r>
    </w:p>
    <w:p w:rsidR="00E0567D" w:rsidRPr="00331DC2" w:rsidRDefault="00E0567D" w:rsidP="00E0567D">
      <w:pPr>
        <w:pStyle w:val="ad"/>
        <w:ind w:left="0"/>
      </w:pPr>
      <w:r w:rsidRPr="00331DC2">
        <w:t>ОАО «Саханефтегазсбыт» в экономическое обоснование установленных цен на услуги по хранению нефтепродуктов и приемо-складские операции нефтебаз на 2011 год поясняет следующее.</w:t>
      </w:r>
    </w:p>
    <w:p w:rsidR="00E0567D" w:rsidRPr="00331DC2" w:rsidRDefault="00E0567D" w:rsidP="00E0567D">
      <w:pPr>
        <w:pStyle w:val="af"/>
        <w:ind w:firstLine="709"/>
        <w:contextualSpacing/>
        <w:jc w:val="both"/>
        <w:rPr>
          <w:rFonts w:cs="Times New Roman"/>
          <w:lang w:val="ru-RU"/>
        </w:rPr>
      </w:pPr>
      <w:r w:rsidRPr="00331DC2">
        <w:rPr>
          <w:rFonts w:cs="Times New Roman"/>
          <w:lang w:val="ru-RU"/>
        </w:rPr>
        <w:t>Согласно расчету товарной продукции на 2011 год по ОАО «Саханефтегазсбыт» на все виды основной деятельности, в соответствии с которой определяется и утверждается снабженческо-сбытовая и торговые надбавки на нефтепродукты, и которая согласно пояснениям ОАО «Саханефтегазсбыт» является экономически обоснованным объемом финансовых средств, необходимых для осуществления Обществом нормальной безубыточной хозяйственной деятельности в течение периода регулирования, общая тарифная выручка Общества на 2011 год составляет 1628638 тыс.руб., в том числе издержки составляют 1463604 тыс.руб., необходимая прибыль 165034 тыс.руб.</w:t>
      </w:r>
    </w:p>
    <w:p w:rsidR="00E0567D" w:rsidRPr="00331DC2" w:rsidRDefault="00E0567D" w:rsidP="00E0567D">
      <w:pPr>
        <w:pStyle w:val="af"/>
        <w:ind w:firstLine="709"/>
        <w:contextualSpacing/>
        <w:jc w:val="both"/>
        <w:rPr>
          <w:rFonts w:cs="Times New Roman"/>
          <w:lang w:val="ru-RU"/>
        </w:rPr>
      </w:pPr>
      <w:r w:rsidRPr="00331DC2">
        <w:rPr>
          <w:rFonts w:cs="Times New Roman"/>
          <w:lang w:val="ru-RU"/>
        </w:rPr>
        <w:t>Согласно учетной политике Общества общая тарифная выручка распределяется между видами деятельности пропорционально валовому доходу и, соответственно, составляет:</w:t>
      </w:r>
    </w:p>
    <w:p w:rsidR="00E0567D" w:rsidRPr="00331DC2" w:rsidRDefault="00E0567D" w:rsidP="00E0567D">
      <w:pPr>
        <w:pStyle w:val="af"/>
        <w:ind w:firstLine="709"/>
        <w:contextualSpacing/>
        <w:jc w:val="both"/>
        <w:rPr>
          <w:rFonts w:cs="Times New Roman"/>
          <w:lang w:val="ru-RU"/>
        </w:rPr>
      </w:pPr>
      <w:r w:rsidRPr="00331DC2">
        <w:rPr>
          <w:rFonts w:cs="Times New Roman"/>
          <w:lang w:val="ru-RU"/>
        </w:rPr>
        <w:t>- по приемо-складским операциям необходимый валовый доход на 2011 год составляет 423341 тыс.руб., в том числе издержки составляют 368620 тыс.руб., необходимая прибыль - 54721 тыс.руб.</w:t>
      </w:r>
    </w:p>
    <w:p w:rsidR="00E0567D" w:rsidRPr="00331DC2" w:rsidRDefault="00E0567D" w:rsidP="00E0567D">
      <w:pPr>
        <w:pStyle w:val="af"/>
        <w:ind w:firstLine="709"/>
        <w:contextualSpacing/>
        <w:jc w:val="both"/>
        <w:rPr>
          <w:rFonts w:cs="Times New Roman"/>
          <w:lang w:val="ru-RU"/>
        </w:rPr>
      </w:pPr>
      <w:r w:rsidRPr="00331DC2">
        <w:rPr>
          <w:rFonts w:cs="Times New Roman"/>
          <w:lang w:val="ru-RU"/>
        </w:rPr>
        <w:t>- по услуге хранения нефтепродуктов необходимый валовый доход на 2011 год составляет 658507,8 тыс.руб., в том числе издержки составляют 604186,8 тыс.руб., необходимая прибыль - 54321 тыс.руб.</w:t>
      </w:r>
    </w:p>
    <w:p w:rsidR="00E0567D" w:rsidRPr="00331DC2" w:rsidRDefault="00E0567D" w:rsidP="00E0567D">
      <w:pPr>
        <w:pStyle w:val="af"/>
        <w:ind w:firstLine="709"/>
        <w:contextualSpacing/>
        <w:jc w:val="both"/>
        <w:rPr>
          <w:rFonts w:cs="Times New Roman"/>
          <w:lang w:val="ru-RU"/>
        </w:rPr>
      </w:pPr>
      <w:r w:rsidRPr="00331DC2">
        <w:rPr>
          <w:rFonts w:cs="Times New Roman"/>
          <w:lang w:val="ru-RU"/>
        </w:rPr>
        <w:t>- по реализации нефтепродуктов необходимый валовый доход на 2011 год составляет 546875,4 тыс.руб., в том числе издержки составляют 490797,2 тыс.руб., необходимая прибыль - 55992,1 тыс.руб.</w:t>
      </w:r>
    </w:p>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Согласно пояснению ОАО «Саханефтегазсбыт» (копия отзыва по делу №02-31/12А от 22.03.2012 №07-04/247) ставка тарифа за хранение нефтепродуктов определяется путем деления плановой тарифной выручки (руб.) на планируемый объем годового хранения (тн/дней), что подтверждается расчетом стоимости услуг по хранению нефтепродуктов на филиалах-нефтебазах Общества в 2011 году (таблица 1), а также расчетом тарифов на услуги по приему, складским операциям, хранению нефтепродуктов, ставки снабженческо-сбытовой и торговой надбавки для Общества на 2011 год (таблица 2).</w:t>
      </w:r>
    </w:p>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В связи с тем, что согласно Постановлению Правительства РС (Я) от 17.10.2005 г. №553-ДСП Государственному комитету по ценовой политике –Региональной энергетической комиссии РС (Я) (ГКЦ-РЭК РС (Я) указано при внесении постановления об утверждении надбавок к ценам на нефтепродукты и тарифов на услуги ОАО «Саханефтегазсбыт» и ГУП «НК Туймаада-Нефть» предусматривать отдельный тариф на услуги по хранению неснижаемых переходящих (страховых) запасов нефтепродуктов в 2011 г., протоколом согласования надбавок и тарифов на услуги нефтебаз ОАО «Саханефтегазсбыт» от 27.12.2010 г. ГКЦ-РЭК РС (Я) был согласован тариф на услуги по обеспечению сохранности страхового запаса 1,21 ру./тн. в сутки без НДС (отзыв по делу №02-78/12А от 28.05.2012 №07-04/53). Планируемая выручка от данной услуги составит 22743,7 тыс.руб.</w:t>
      </w:r>
    </w:p>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lastRenderedPageBreak/>
        <w:t>За вычетом выручки по услугам по обеспечению сохранности страхового запаса плановая тарифная выручка по хранению составляет 635764,2 тыс.руб., в том числе издержки обращения 581443,1 тыс.руб. Сумма издержек обращения распределена между категориями поклажедателей пропорционально объему годового хранения каждого в тонно-днях (таблица 4.).</w:t>
      </w:r>
    </w:p>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3"/>
        <w:gridCol w:w="3180"/>
        <w:gridCol w:w="3178"/>
      </w:tblGrid>
      <w:tr w:rsidR="00E0567D" w:rsidRPr="00331DC2" w:rsidTr="00E0567D">
        <w:tc>
          <w:tcPr>
            <w:tcW w:w="3190"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Поклажедатель</w:t>
            </w:r>
          </w:p>
        </w:tc>
        <w:tc>
          <w:tcPr>
            <w:tcW w:w="3190"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Объем годового хранения, тыс.тн-дней</w:t>
            </w:r>
          </w:p>
        </w:tc>
        <w:tc>
          <w:tcPr>
            <w:tcW w:w="3190"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 от общего объема</w:t>
            </w:r>
          </w:p>
        </w:tc>
      </w:tr>
      <w:tr w:rsidR="00E0567D" w:rsidRPr="00331DC2" w:rsidTr="00E0567D">
        <w:tc>
          <w:tcPr>
            <w:tcW w:w="3190"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Поклажедатели местного топлива и сельхозтоваропроизводители</w:t>
            </w:r>
          </w:p>
        </w:tc>
        <w:tc>
          <w:tcPr>
            <w:tcW w:w="3190"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21843,9</w:t>
            </w:r>
          </w:p>
        </w:tc>
        <w:tc>
          <w:tcPr>
            <w:tcW w:w="3190"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27,0</w:t>
            </w:r>
          </w:p>
        </w:tc>
      </w:tr>
      <w:tr w:rsidR="00E0567D" w:rsidRPr="00331DC2" w:rsidTr="00E0567D">
        <w:tc>
          <w:tcPr>
            <w:tcW w:w="3190"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АК «АЛРОСА»</w:t>
            </w:r>
          </w:p>
        </w:tc>
        <w:tc>
          <w:tcPr>
            <w:tcW w:w="3190"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33492,8</w:t>
            </w:r>
          </w:p>
        </w:tc>
        <w:tc>
          <w:tcPr>
            <w:tcW w:w="3190"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31,5</w:t>
            </w:r>
          </w:p>
        </w:tc>
      </w:tr>
      <w:tr w:rsidR="00E0567D" w:rsidRPr="00331DC2" w:rsidTr="00E0567D">
        <w:tc>
          <w:tcPr>
            <w:tcW w:w="3190"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Прочие поклажедатели</w:t>
            </w:r>
          </w:p>
        </w:tc>
        <w:tc>
          <w:tcPr>
            <w:tcW w:w="3190"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25472,7</w:t>
            </w:r>
          </w:p>
        </w:tc>
        <w:tc>
          <w:tcPr>
            <w:tcW w:w="3190"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41,4</w:t>
            </w:r>
          </w:p>
        </w:tc>
      </w:tr>
      <w:tr w:rsidR="00E0567D" w:rsidRPr="00331DC2" w:rsidTr="00E0567D">
        <w:tc>
          <w:tcPr>
            <w:tcW w:w="3190"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ИТОГО</w:t>
            </w:r>
          </w:p>
        </w:tc>
        <w:tc>
          <w:tcPr>
            <w:tcW w:w="3190"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80809,4</w:t>
            </w:r>
          </w:p>
        </w:tc>
        <w:tc>
          <w:tcPr>
            <w:tcW w:w="3190" w:type="dxa"/>
          </w:tcPr>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100,0</w:t>
            </w:r>
          </w:p>
        </w:tc>
      </w:tr>
    </w:tbl>
    <w:p w:rsidR="00E0567D" w:rsidRPr="00331DC2" w:rsidRDefault="00E0567D" w:rsidP="00E0567D">
      <w:pPr>
        <w:contextualSpacing/>
        <w:jc w:val="both"/>
        <w:rPr>
          <w:rFonts w:ascii="Times New Roman" w:hAnsi="Times New Roman" w:cs="Times New Roman"/>
          <w:sz w:val="24"/>
          <w:szCs w:val="24"/>
        </w:rPr>
      </w:pPr>
    </w:p>
    <w:p w:rsidR="00E0567D" w:rsidRPr="00331DC2" w:rsidRDefault="00E0567D" w:rsidP="00E0567D">
      <w:pPr>
        <w:ind w:firstLine="567"/>
        <w:contextualSpacing/>
        <w:jc w:val="both"/>
        <w:rPr>
          <w:rFonts w:ascii="Times New Roman" w:hAnsi="Times New Roman" w:cs="Times New Roman"/>
          <w:sz w:val="24"/>
          <w:szCs w:val="24"/>
        </w:rPr>
      </w:pPr>
      <w:r w:rsidRPr="00331DC2">
        <w:rPr>
          <w:rFonts w:ascii="Times New Roman" w:hAnsi="Times New Roman" w:cs="Times New Roman"/>
          <w:sz w:val="24"/>
          <w:szCs w:val="24"/>
        </w:rPr>
        <w:t>Учитывая, что часть расходов сельхозтоваропроизводителей по приобретению нефтепродуктов ложится на бюджет РС (Я), а также что местное топливо (нефть сырая и газоконденсатное котельное топливо) в основном используются в качестве котельного топлива для выработки тепловой энергии для нужд населения, бюджетной сферы, сумма необходимой прибыли 54321,1 полностью отнесена на тарифы для прочих поклажедателей, в том числе на АК «АЛРОСА».</w:t>
      </w:r>
    </w:p>
    <w:p w:rsidR="00E0567D" w:rsidRPr="00331DC2" w:rsidRDefault="00E0567D" w:rsidP="00E0567D">
      <w:pPr>
        <w:ind w:firstLine="567"/>
        <w:contextualSpacing/>
        <w:jc w:val="both"/>
        <w:rPr>
          <w:rFonts w:ascii="Times New Roman" w:hAnsi="Times New Roman" w:cs="Times New Roman"/>
          <w:sz w:val="24"/>
          <w:szCs w:val="24"/>
        </w:rPr>
      </w:pPr>
      <w:r w:rsidRPr="00331DC2">
        <w:rPr>
          <w:rFonts w:ascii="Times New Roman" w:hAnsi="Times New Roman" w:cs="Times New Roman"/>
          <w:sz w:val="24"/>
          <w:szCs w:val="24"/>
        </w:rPr>
        <w:t>В результате деления плановой суммы тарифной выручки на 2011 год (согласно учетной политике Общества) сумма плановой выручки по услугам по приемо-складским операциям составляет 423341,0 тыс.руб., в том числе издержки обращения 368620,0 тыс.руб. Сумма издержек обращения распределена между категориями топлива пропорционально объему годовой переработки каждого вида в тоннах. Общий объем переработки топлива за 2011 год запланирован 581,26 тыс.тн., в т.ч. нефтепродуктов 370,01 тыс.тн. (63,7%), местного топлива 211,25 тыс.тн. (36,3%). Плановая сумма издержек обращения по ПСО по нефтепродуктам 231997,0 тыс.руб., по местному топливу 136623,0 тыс.руб. Плановая прибыль в размере 54721,0 тыс.руб отнесена только на услуги по переработке нефтепродуктов (кроме местного топлива).</w:t>
      </w:r>
    </w:p>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При формировании тарифов на хранение нефтепродуктов учитывались средние дни хранения исходя из анализа дней хранения за 2009-2010 гг.</w:t>
      </w:r>
    </w:p>
    <w:p w:rsidR="00E0567D" w:rsidRPr="00331DC2" w:rsidRDefault="00E0567D" w:rsidP="00E0567D">
      <w:pPr>
        <w:ind w:firstLine="567"/>
        <w:contextualSpacing/>
        <w:jc w:val="both"/>
        <w:rPr>
          <w:rFonts w:ascii="Times New Roman" w:hAnsi="Times New Roman" w:cs="Times New Roman"/>
          <w:sz w:val="24"/>
          <w:szCs w:val="24"/>
        </w:rPr>
      </w:pPr>
      <w:r w:rsidRPr="00331DC2">
        <w:rPr>
          <w:rFonts w:ascii="Times New Roman" w:hAnsi="Times New Roman" w:cs="Times New Roman"/>
          <w:sz w:val="24"/>
          <w:szCs w:val="24"/>
        </w:rPr>
        <w:t>По прочим поклажедателям среднегодовое хранение составило 152 дня, но по настоянию ГКЦ –РЭК РС (Я) в целях снижения тарифов в расчет принято 165 дней.</w:t>
      </w:r>
    </w:p>
    <w:p w:rsidR="00E0567D" w:rsidRDefault="00E0567D" w:rsidP="00E0567D">
      <w:pPr>
        <w:spacing w:line="240" w:lineRule="auto"/>
        <w:ind w:firstLine="567"/>
        <w:contextualSpacing/>
        <w:jc w:val="both"/>
        <w:rPr>
          <w:rFonts w:ascii="Times New Roman" w:hAnsi="Times New Roman" w:cs="Times New Roman"/>
          <w:sz w:val="24"/>
          <w:szCs w:val="24"/>
        </w:rPr>
      </w:pPr>
      <w:r w:rsidRPr="00331DC2">
        <w:rPr>
          <w:rFonts w:ascii="Times New Roman" w:hAnsi="Times New Roman" w:cs="Times New Roman"/>
          <w:sz w:val="24"/>
          <w:szCs w:val="24"/>
        </w:rPr>
        <w:t>По местному топливу в связи со значительным объемом хранения топлива для ГУП ЖКХ РС (Я) (72,9% от общего объема местного топлива) и затруднением в определении дней хранения по прочим мелким хранителям местного топлива в расчете использованы данные по дням хранения по данному предприятию.</w:t>
      </w:r>
    </w:p>
    <w:p w:rsidR="00E0567D" w:rsidRDefault="00E0567D" w:rsidP="00E0567D">
      <w:pPr>
        <w:spacing w:line="240" w:lineRule="auto"/>
        <w:ind w:firstLine="567"/>
        <w:contextualSpacing/>
        <w:jc w:val="both"/>
        <w:rPr>
          <w:rFonts w:ascii="Times New Roman" w:hAnsi="Times New Roman" w:cs="Times New Roman"/>
          <w:sz w:val="24"/>
          <w:szCs w:val="24"/>
        </w:rPr>
      </w:pPr>
      <w:r w:rsidRPr="00331DC2">
        <w:rPr>
          <w:rFonts w:ascii="Times New Roman" w:hAnsi="Times New Roman" w:cs="Times New Roman"/>
          <w:sz w:val="24"/>
          <w:szCs w:val="24"/>
        </w:rPr>
        <w:t xml:space="preserve">Кроме того, в отзыве от 19.06.2012 №07-04/1-612 ОАО «Саханефтегазсбыт» приводит довод о том, что установленная им в 2011 году цена услуги хранения нефтепродуктов не превышает цену на сопоставимом рынке – рынке хранения нефтепродуктов в Чукотском автономном округе Российской Федерации. Данные о проведенном Чукотским УФАС России анализе указанного рынка ОАО «Саханефтегазсбыт» выявлены на официальном сайте Чукотского УФАС России: </w:t>
      </w:r>
      <w:hyperlink r:id="rId7" w:history="1">
        <w:r w:rsidRPr="00331DC2">
          <w:rPr>
            <w:rStyle w:val="a6"/>
            <w:rFonts w:ascii="Times New Roman" w:hAnsi="Times New Roman" w:cs="Times New Roman"/>
            <w:sz w:val="24"/>
            <w:szCs w:val="24"/>
          </w:rPr>
          <w:t>http://chukotka.fas.gov.ru/analytic/6680</w:t>
        </w:r>
      </w:hyperlink>
      <w:r w:rsidRPr="00331DC2">
        <w:rPr>
          <w:rFonts w:ascii="Times New Roman" w:hAnsi="Times New Roman" w:cs="Times New Roman"/>
          <w:sz w:val="24"/>
          <w:szCs w:val="24"/>
        </w:rPr>
        <w:t>.</w:t>
      </w:r>
    </w:p>
    <w:p w:rsidR="00E0567D" w:rsidRDefault="00E0567D" w:rsidP="00E0567D">
      <w:pPr>
        <w:spacing w:line="240" w:lineRule="auto"/>
        <w:ind w:firstLine="567"/>
        <w:contextualSpacing/>
        <w:jc w:val="both"/>
        <w:rPr>
          <w:rFonts w:ascii="Times New Roman" w:hAnsi="Times New Roman" w:cs="Times New Roman"/>
          <w:sz w:val="24"/>
          <w:szCs w:val="24"/>
        </w:rPr>
      </w:pPr>
      <w:r w:rsidRPr="00792144">
        <w:rPr>
          <w:rFonts w:ascii="Times New Roman" w:hAnsi="Times New Roman" w:cs="Times New Roman"/>
          <w:sz w:val="24"/>
          <w:szCs w:val="24"/>
        </w:rPr>
        <w:lastRenderedPageBreak/>
        <w:t>Также ОАО «Саханефтегазсбыт» в указанном же отзыве представил сравнительные таблицы затрат ОАО «Саханефтегазсбыт» за 2011 год, по результатам анализов которых Общество пришло к выводу о том, что расходы, учтенные в тарифах 2011 г., не превышают сумму необходимых расходов для оказания услуг и реализации товаров.</w:t>
      </w:r>
    </w:p>
    <w:p w:rsidR="00E0567D" w:rsidRPr="00792144" w:rsidRDefault="00E0567D" w:rsidP="00E0567D">
      <w:pPr>
        <w:spacing w:line="240" w:lineRule="auto"/>
        <w:ind w:firstLine="567"/>
        <w:contextualSpacing/>
        <w:jc w:val="both"/>
        <w:rPr>
          <w:rFonts w:ascii="Times New Roman" w:hAnsi="Times New Roman" w:cs="Times New Roman"/>
          <w:sz w:val="24"/>
          <w:szCs w:val="24"/>
        </w:rPr>
      </w:pPr>
      <w:r w:rsidRPr="00792144">
        <w:rPr>
          <w:rFonts w:ascii="Times New Roman" w:hAnsi="Times New Roman" w:cs="Times New Roman"/>
          <w:sz w:val="24"/>
          <w:szCs w:val="24"/>
        </w:rPr>
        <w:t xml:space="preserve">Изучив представленные документы, заслушав и исследовав доводы лиц, участвующих в рассмотрении настоящего дела, Комиссия пришла к следующим выводам. </w:t>
      </w:r>
    </w:p>
    <w:p w:rsidR="00E0567D" w:rsidRPr="00331DC2" w:rsidRDefault="00E0567D" w:rsidP="00E0567D">
      <w:pPr>
        <w:spacing w:line="240" w:lineRule="auto"/>
        <w:ind w:firstLine="567"/>
        <w:contextualSpacing/>
        <w:jc w:val="both"/>
        <w:rPr>
          <w:rFonts w:ascii="Times New Roman" w:hAnsi="Times New Roman" w:cs="Times New Roman"/>
          <w:sz w:val="24"/>
          <w:szCs w:val="24"/>
        </w:rPr>
      </w:pPr>
      <w:r w:rsidRPr="00331DC2">
        <w:rPr>
          <w:rFonts w:ascii="Times New Roman" w:hAnsi="Times New Roman" w:cs="Times New Roman"/>
          <w:sz w:val="24"/>
          <w:szCs w:val="24"/>
        </w:rPr>
        <w:t xml:space="preserve">Согласно пункту 1 части 1 статьи 10 Федерального закона «О защите конкуренции» запрещаются действия (бездействия) занимающего доминирующее положение хозяйствующего субъекта путем установления, поддержания монопольно высокой цены товара. </w:t>
      </w:r>
    </w:p>
    <w:p w:rsidR="00E0567D" w:rsidRPr="00331DC2" w:rsidRDefault="00E0567D" w:rsidP="00E0567D">
      <w:pPr>
        <w:adjustRightInd w:val="0"/>
        <w:spacing w:line="240" w:lineRule="auto"/>
        <w:ind w:firstLine="567"/>
        <w:contextualSpacing/>
        <w:jc w:val="both"/>
        <w:rPr>
          <w:rFonts w:ascii="Times New Roman" w:hAnsi="Times New Roman" w:cs="Times New Roman"/>
          <w:sz w:val="24"/>
          <w:szCs w:val="24"/>
        </w:rPr>
      </w:pPr>
      <w:r w:rsidRPr="00331DC2">
        <w:rPr>
          <w:rFonts w:ascii="Times New Roman" w:hAnsi="Times New Roman" w:cs="Times New Roman"/>
          <w:sz w:val="24"/>
          <w:szCs w:val="24"/>
        </w:rPr>
        <w:t>Приказом Управления Федеральной антимонопольной службы по Республике Саха (Якутия) №72 от 27.08.2004г. ОАО «Саханефтегазсбыт» включено в реестр хозяйствующих субъектов, занимающих доминирующее положение на товарном рынке по позиции «хранение и складирование нефти и продуктов ее переработки» с долей более 65% в географических границах территории Республики Саха (Якутия).</w:t>
      </w:r>
    </w:p>
    <w:p w:rsidR="00E0567D" w:rsidRPr="00331DC2" w:rsidRDefault="00E0567D" w:rsidP="00E0567D">
      <w:pPr>
        <w:adjustRightInd w:val="0"/>
        <w:spacing w:line="240" w:lineRule="auto"/>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Согласно статье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E0567D" w:rsidRPr="00331DC2" w:rsidRDefault="00E0567D" w:rsidP="00E0567D">
      <w:pPr>
        <w:adjustRightInd w:val="0"/>
        <w:spacing w:line="240" w:lineRule="auto"/>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1) путем повышения ранее установленной цены товара, если при этом выполняются в совокупности следующие условия:</w:t>
      </w:r>
    </w:p>
    <w:p w:rsidR="00E0567D" w:rsidRPr="00331DC2" w:rsidRDefault="00E0567D" w:rsidP="00E0567D">
      <w:pPr>
        <w:adjustRightInd w:val="0"/>
        <w:spacing w:line="240" w:lineRule="auto"/>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E0567D" w:rsidRPr="00331DC2" w:rsidRDefault="00E0567D" w:rsidP="00E0567D">
      <w:pPr>
        <w:adjustRightInd w:val="0"/>
        <w:spacing w:line="240" w:lineRule="auto"/>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E0567D" w:rsidRPr="00331DC2" w:rsidRDefault="00E0567D" w:rsidP="00E0567D">
      <w:pPr>
        <w:adjustRightInd w:val="0"/>
        <w:spacing w:line="240" w:lineRule="auto"/>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E0567D" w:rsidRPr="00331DC2" w:rsidRDefault="00E0567D" w:rsidP="00E0567D">
      <w:pPr>
        <w:adjustRightInd w:val="0"/>
        <w:spacing w:line="240" w:lineRule="auto"/>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2) путем поддержания или неснижения ранее установленной цены товара, если при этом выполняются в совокупности следующие условия:</w:t>
      </w:r>
    </w:p>
    <w:p w:rsidR="00E0567D" w:rsidRPr="00331DC2" w:rsidRDefault="00E0567D" w:rsidP="00E0567D">
      <w:pPr>
        <w:adjustRightInd w:val="0"/>
        <w:spacing w:line="240" w:lineRule="auto"/>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а) расходы, необходимые для производства и реализации товара, существенно снизились;</w:t>
      </w:r>
    </w:p>
    <w:p w:rsidR="00E0567D" w:rsidRPr="00331DC2" w:rsidRDefault="00E0567D" w:rsidP="00E0567D">
      <w:pPr>
        <w:adjustRightInd w:val="0"/>
        <w:spacing w:line="240" w:lineRule="auto"/>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б) состав продавцов или покупателей товара обусловливает возможность изменения цены товара в сторону уменьшения;</w:t>
      </w:r>
    </w:p>
    <w:p w:rsidR="00E0567D" w:rsidRDefault="00E0567D" w:rsidP="00E0567D">
      <w:pPr>
        <w:autoSpaceDE w:val="0"/>
        <w:autoSpaceDN w:val="0"/>
        <w:adjustRightInd w:val="0"/>
        <w:spacing w:line="240" w:lineRule="auto"/>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E0567D" w:rsidRDefault="00E0567D" w:rsidP="00E0567D">
      <w:pPr>
        <w:autoSpaceDE w:val="0"/>
        <w:autoSpaceDN w:val="0"/>
        <w:adjustRightInd w:val="0"/>
        <w:spacing w:line="240" w:lineRule="auto"/>
        <w:ind w:firstLine="567"/>
        <w:contextualSpacing/>
        <w:jc w:val="both"/>
        <w:outlineLvl w:val="1"/>
        <w:rPr>
          <w:rFonts w:ascii="Times New Roman" w:hAnsi="Times New Roman"/>
          <w:bCs/>
          <w:iCs/>
          <w:sz w:val="24"/>
          <w:szCs w:val="24"/>
        </w:rPr>
      </w:pPr>
      <w:r w:rsidRPr="00331DC2">
        <w:rPr>
          <w:rFonts w:ascii="Times New Roman" w:hAnsi="Times New Roman"/>
          <w:sz w:val="24"/>
          <w:szCs w:val="24"/>
        </w:rPr>
        <w:t xml:space="preserve">Комиссией Якутского УФАС по РС (Я) </w:t>
      </w:r>
      <w:r w:rsidRPr="00331DC2">
        <w:rPr>
          <w:rFonts w:ascii="Times New Roman" w:hAnsi="Times New Roman"/>
          <w:bCs/>
          <w:iCs/>
          <w:sz w:val="24"/>
          <w:szCs w:val="24"/>
        </w:rPr>
        <w:t>установлено что, критерий</w:t>
      </w:r>
      <w:r w:rsidRPr="00331DC2">
        <w:rPr>
          <w:rFonts w:ascii="Times New Roman" w:hAnsi="Times New Roman"/>
          <w:sz w:val="24"/>
          <w:szCs w:val="24"/>
        </w:rPr>
        <w:t xml:space="preserve">, определенный пунктом 1 части 1 статьи 6 Закона о защите конкуренции, определяющего монопольно высокую цену как цену, превышающую сложившуюся </w:t>
      </w:r>
      <w:r w:rsidRPr="00331DC2">
        <w:rPr>
          <w:rFonts w:ascii="Times New Roman" w:hAnsi="Times New Roman"/>
          <w:b/>
          <w:sz w:val="24"/>
          <w:szCs w:val="24"/>
        </w:rPr>
        <w:t>в условиях конкуренции</w:t>
      </w:r>
      <w:r w:rsidRPr="00331DC2">
        <w:rPr>
          <w:rFonts w:ascii="Times New Roman" w:hAnsi="Times New Roman"/>
          <w:sz w:val="24"/>
          <w:szCs w:val="24"/>
        </w:rPr>
        <w:t xml:space="preserve"> на товарном рынке, </w:t>
      </w:r>
      <w:r w:rsidRPr="00331DC2">
        <w:rPr>
          <w:rFonts w:ascii="Times New Roman" w:hAnsi="Times New Roman"/>
          <w:bCs/>
          <w:iCs/>
          <w:sz w:val="24"/>
          <w:szCs w:val="24"/>
        </w:rPr>
        <w:t>сопоставимом по</w:t>
      </w:r>
      <w:r w:rsidRPr="00331DC2">
        <w:rPr>
          <w:rFonts w:ascii="Times New Roman" w:hAnsi="Times New Roman"/>
          <w:sz w:val="24"/>
          <w:szCs w:val="24"/>
        </w:rPr>
        <w:t xml:space="preserve"> количеству продаваемого за определенный период товара, составу покупателей или продавцов товара (определяемому исходя из целей приобретения или продажи товара) и условиям доступа (далее - сопоставимый товарный рынок), которую устанавливают хозяйствующие субъекты, не входящие с покупателями или продавцами товара в одну группу лиц и не занимающие доминирующего положения на сопоставимом товарном рынке,</w:t>
      </w:r>
      <w:r w:rsidRPr="00331DC2">
        <w:rPr>
          <w:rFonts w:ascii="Times New Roman" w:hAnsi="Times New Roman"/>
          <w:bCs/>
          <w:iCs/>
          <w:sz w:val="24"/>
          <w:szCs w:val="24"/>
        </w:rPr>
        <w:t xml:space="preserve"> не может быть применен</w:t>
      </w:r>
      <w:r w:rsidRPr="00331DC2">
        <w:rPr>
          <w:rFonts w:ascii="Times New Roman" w:hAnsi="Times New Roman"/>
          <w:sz w:val="24"/>
          <w:szCs w:val="24"/>
        </w:rPr>
        <w:t xml:space="preserve"> для установления признаков </w:t>
      </w:r>
      <w:r w:rsidRPr="00331DC2">
        <w:rPr>
          <w:rFonts w:ascii="Times New Roman" w:hAnsi="Times New Roman"/>
          <w:sz w:val="24"/>
          <w:szCs w:val="24"/>
        </w:rPr>
        <w:lastRenderedPageBreak/>
        <w:t xml:space="preserve">монопольно высокой цены в данном случае, </w:t>
      </w:r>
      <w:r w:rsidRPr="00331DC2">
        <w:rPr>
          <w:rFonts w:ascii="Times New Roman" w:hAnsi="Times New Roman"/>
          <w:bCs/>
          <w:iCs/>
          <w:sz w:val="24"/>
          <w:szCs w:val="24"/>
        </w:rPr>
        <w:t xml:space="preserve">так как сопоставимых товарных рынков, в значении, определенной указанной нормой, и применительно к рассматриваемым в настоящем деле обстоятельствам, не существует. </w:t>
      </w:r>
    </w:p>
    <w:p w:rsidR="00E0567D" w:rsidRDefault="00E0567D" w:rsidP="00E0567D">
      <w:pPr>
        <w:autoSpaceDE w:val="0"/>
        <w:autoSpaceDN w:val="0"/>
        <w:adjustRightInd w:val="0"/>
        <w:spacing w:line="240" w:lineRule="auto"/>
        <w:ind w:firstLine="567"/>
        <w:contextualSpacing/>
        <w:jc w:val="both"/>
        <w:outlineLvl w:val="1"/>
        <w:rPr>
          <w:rFonts w:ascii="Times New Roman" w:hAnsi="Times New Roman"/>
          <w:sz w:val="24"/>
          <w:szCs w:val="24"/>
        </w:rPr>
      </w:pPr>
      <w:r w:rsidRPr="00331DC2">
        <w:rPr>
          <w:rFonts w:ascii="Times New Roman" w:hAnsi="Times New Roman"/>
          <w:sz w:val="24"/>
          <w:szCs w:val="24"/>
        </w:rPr>
        <w:t xml:space="preserve">Данный </w:t>
      </w:r>
      <w:r w:rsidRPr="00331DC2">
        <w:rPr>
          <w:rFonts w:ascii="Times New Roman" w:hAnsi="Times New Roman"/>
          <w:bCs/>
          <w:iCs/>
          <w:sz w:val="24"/>
          <w:szCs w:val="24"/>
        </w:rPr>
        <w:t>вывод был сделан комиссией на основании анализа материалов</w:t>
      </w:r>
      <w:r w:rsidRPr="00331DC2">
        <w:rPr>
          <w:rFonts w:ascii="Times New Roman" w:hAnsi="Times New Roman"/>
          <w:sz w:val="24"/>
          <w:szCs w:val="24"/>
        </w:rPr>
        <w:t xml:space="preserve">, представленных </w:t>
      </w:r>
      <w:r w:rsidRPr="00331DC2">
        <w:rPr>
          <w:rFonts w:ascii="Times New Roman" w:hAnsi="Times New Roman"/>
          <w:bCs/>
          <w:iCs/>
          <w:sz w:val="24"/>
          <w:szCs w:val="24"/>
        </w:rPr>
        <w:t>территориальными органами Федеральной антимонопольной службы России</w:t>
      </w:r>
      <w:r w:rsidRPr="00331DC2">
        <w:rPr>
          <w:rFonts w:ascii="Times New Roman" w:hAnsi="Times New Roman"/>
          <w:sz w:val="24"/>
          <w:szCs w:val="24"/>
        </w:rPr>
        <w:t xml:space="preserve">, которые имеются в материалах дела. Рынки услуг хранения нефтепродуктов и приемо-складских операций по составу продавцов и покупателей (количественному) могут быть сходными. Однако в данном случае есть важное условие обращения товара – уникальное географическое положение, природные условия, размеры Республики Саха (Якутия). Следовательно, для выбора сопоставимого рынка необходимо сопоставление с регионами с аналогичными погодными условиями - ближайшие к РС (Я). Данные регионы не могут сравниться с РС (Я) по размеру территорий, подавляющее большинство таких рынков являются высококонцентрированными, с неразвитой конкуренцией. Следовательно, сравнение цен на этих рынках с ценой на рынке РС (Я) противоречит требованиям статьи 6 Закона о защите конкуренции. </w:t>
      </w:r>
    </w:p>
    <w:p w:rsidR="00E0567D" w:rsidRPr="00331DC2" w:rsidRDefault="00E0567D" w:rsidP="00E0567D">
      <w:pPr>
        <w:autoSpaceDE w:val="0"/>
        <w:autoSpaceDN w:val="0"/>
        <w:adjustRightInd w:val="0"/>
        <w:spacing w:line="240" w:lineRule="auto"/>
        <w:ind w:firstLine="567"/>
        <w:contextualSpacing/>
        <w:jc w:val="both"/>
        <w:outlineLvl w:val="1"/>
        <w:rPr>
          <w:rFonts w:ascii="Times New Roman" w:hAnsi="Times New Roman"/>
          <w:bCs/>
          <w:iCs/>
          <w:sz w:val="24"/>
          <w:szCs w:val="24"/>
        </w:rPr>
      </w:pPr>
      <w:r w:rsidRPr="00331DC2">
        <w:rPr>
          <w:rFonts w:ascii="Times New Roman" w:hAnsi="Times New Roman"/>
          <w:sz w:val="24"/>
          <w:szCs w:val="24"/>
        </w:rPr>
        <w:t xml:space="preserve">Таким образом, в рассматриваемом случае сопоставимые рынки, цены на которых пригодны для сравнения с монопольной ценой, отсутствуют. </w:t>
      </w:r>
    </w:p>
    <w:p w:rsidR="00E0567D" w:rsidRPr="00331DC2" w:rsidRDefault="00E0567D" w:rsidP="00E0567D">
      <w:pPr>
        <w:spacing w:line="240" w:lineRule="auto"/>
        <w:contextualSpacing/>
        <w:jc w:val="both"/>
        <w:rPr>
          <w:rFonts w:ascii="Times New Roman" w:hAnsi="Times New Roman" w:cs="Times New Roman"/>
          <w:sz w:val="24"/>
          <w:szCs w:val="24"/>
        </w:rPr>
      </w:pPr>
      <w:r w:rsidRPr="00331DC2">
        <w:rPr>
          <w:rFonts w:ascii="Times New Roman" w:hAnsi="Times New Roman" w:cs="Times New Roman"/>
          <w:sz w:val="24"/>
          <w:szCs w:val="24"/>
        </w:rPr>
        <w:t>Установив невозможность применения первого критерия (отсутствие сопоставимых с рассматриваемым товарных рынков) Комиссия в соответствии с правилами статьи 6 Закона о защите конкуренции рассмотрела вопрос о нарушении</w:t>
      </w:r>
      <w:r w:rsidRPr="00331DC2">
        <w:rPr>
          <w:rFonts w:ascii="Times New Roman" w:hAnsi="Times New Roman" w:cs="Times New Roman"/>
          <w:color w:val="000080"/>
          <w:sz w:val="24"/>
          <w:szCs w:val="24"/>
        </w:rPr>
        <w:t xml:space="preserve"> </w:t>
      </w:r>
      <w:r w:rsidRPr="00331DC2">
        <w:rPr>
          <w:rFonts w:ascii="Times New Roman" w:hAnsi="Times New Roman" w:cs="Times New Roman"/>
          <w:sz w:val="24"/>
          <w:szCs w:val="24"/>
        </w:rPr>
        <w:t xml:space="preserve">ОАО «Саханефтегазсбыт» антимонопольного законодательства, в виде установления монопольно высокой цены на товар, </w:t>
      </w:r>
      <w:r w:rsidRPr="00331DC2">
        <w:rPr>
          <w:rFonts w:ascii="Times New Roman" w:hAnsi="Times New Roman" w:cs="Times New Roman"/>
          <w:bCs/>
          <w:iCs/>
          <w:sz w:val="24"/>
          <w:szCs w:val="24"/>
        </w:rPr>
        <w:t>в соответствии со вторым критерием</w:t>
      </w:r>
      <w:r w:rsidRPr="00331DC2">
        <w:rPr>
          <w:rFonts w:ascii="Times New Roman" w:hAnsi="Times New Roman" w:cs="Times New Roman"/>
          <w:sz w:val="24"/>
          <w:szCs w:val="24"/>
        </w:rPr>
        <w:t>, определяющего монопольно высокую цену как цену,</w:t>
      </w:r>
      <w:r w:rsidRPr="00331DC2">
        <w:rPr>
          <w:rFonts w:ascii="Times New Roman" w:hAnsi="Times New Roman" w:cs="Times New Roman"/>
          <w:iCs/>
          <w:sz w:val="24"/>
          <w:szCs w:val="24"/>
        </w:rPr>
        <w:t xml:space="preserve"> </w:t>
      </w:r>
      <w:r w:rsidRPr="00331DC2">
        <w:rPr>
          <w:rFonts w:ascii="Times New Roman" w:hAnsi="Times New Roman" w:cs="Times New Roman"/>
          <w:bCs/>
          <w:iCs/>
          <w:sz w:val="24"/>
          <w:szCs w:val="24"/>
        </w:rPr>
        <w:t xml:space="preserve">превышающую сумму необходимых для производства и реализации такого товара </w:t>
      </w:r>
      <w:r w:rsidRPr="00331DC2">
        <w:rPr>
          <w:rFonts w:ascii="Times New Roman" w:hAnsi="Times New Roman" w:cs="Times New Roman"/>
          <w:sz w:val="24"/>
          <w:szCs w:val="24"/>
        </w:rPr>
        <w:t>(оказания услуги)</w:t>
      </w:r>
      <w:r w:rsidRPr="00331DC2">
        <w:rPr>
          <w:rFonts w:ascii="Times New Roman" w:hAnsi="Times New Roman" w:cs="Times New Roman"/>
          <w:bCs/>
          <w:iCs/>
          <w:sz w:val="24"/>
          <w:szCs w:val="24"/>
        </w:rPr>
        <w:t xml:space="preserve"> расходов и прибыли, </w:t>
      </w:r>
      <w:r w:rsidRPr="00331DC2">
        <w:rPr>
          <w:rFonts w:ascii="Times New Roman" w:hAnsi="Times New Roman" w:cs="Times New Roman"/>
          <w:sz w:val="24"/>
          <w:szCs w:val="24"/>
        </w:rPr>
        <w:t>используя</w:t>
      </w:r>
      <w:r w:rsidRPr="00331DC2">
        <w:rPr>
          <w:rFonts w:ascii="Times New Roman" w:hAnsi="Times New Roman" w:cs="Times New Roman"/>
          <w:bCs/>
          <w:iCs/>
          <w:sz w:val="24"/>
          <w:szCs w:val="24"/>
        </w:rPr>
        <w:t xml:space="preserve"> </w:t>
      </w:r>
      <w:r w:rsidRPr="00331DC2">
        <w:rPr>
          <w:rFonts w:ascii="Times New Roman" w:hAnsi="Times New Roman" w:cs="Times New Roman"/>
          <w:sz w:val="24"/>
          <w:szCs w:val="24"/>
        </w:rPr>
        <w:t xml:space="preserve">метод анализа обоснованности расходов и прибыли для производства и реализации товара (оказания услуги). </w:t>
      </w:r>
    </w:p>
    <w:p w:rsidR="00E0567D" w:rsidRPr="00331DC2" w:rsidRDefault="00E0567D" w:rsidP="00E0567D">
      <w:pPr>
        <w:spacing w:line="240" w:lineRule="auto"/>
        <w:ind w:firstLine="567"/>
        <w:contextualSpacing/>
        <w:jc w:val="both"/>
        <w:rPr>
          <w:rFonts w:ascii="Times New Roman" w:hAnsi="Times New Roman" w:cs="Times New Roman"/>
          <w:sz w:val="24"/>
          <w:szCs w:val="24"/>
        </w:rPr>
      </w:pPr>
      <w:r w:rsidRPr="00331DC2">
        <w:rPr>
          <w:rFonts w:ascii="Times New Roman" w:hAnsi="Times New Roman" w:cs="Times New Roman"/>
          <w:sz w:val="24"/>
          <w:szCs w:val="24"/>
        </w:rPr>
        <w:t>Довод ОАО «Саханефтегазсбыт» о не превышении установленных им в 2011 г. тарифов на услуги хранения нефтепродуктов цены на сопоставимом товарном рынке – соответствующем рынке Чукотского АО, не принимается Комиссией ввиду следующего.</w:t>
      </w:r>
    </w:p>
    <w:p w:rsidR="00E0567D" w:rsidRDefault="00E0567D" w:rsidP="00E0567D">
      <w:pPr>
        <w:spacing w:line="240" w:lineRule="auto"/>
        <w:ind w:firstLine="567"/>
        <w:contextualSpacing/>
        <w:jc w:val="both"/>
        <w:rPr>
          <w:rFonts w:ascii="Times New Roman" w:hAnsi="Times New Roman" w:cs="Times New Roman"/>
          <w:sz w:val="24"/>
          <w:szCs w:val="24"/>
        </w:rPr>
      </w:pPr>
      <w:r w:rsidRPr="00331DC2">
        <w:rPr>
          <w:rFonts w:ascii="Times New Roman" w:hAnsi="Times New Roman" w:cs="Times New Roman"/>
          <w:sz w:val="24"/>
          <w:szCs w:val="24"/>
        </w:rPr>
        <w:t xml:space="preserve">Основным условием второго признака монопольной цены, указанной в части 1 статьи 6 Закона о защите конкуренции, является превышение рассматриваемой ценой цены, сложившейся </w:t>
      </w:r>
      <w:r w:rsidRPr="00331DC2">
        <w:rPr>
          <w:rFonts w:ascii="Times New Roman" w:hAnsi="Times New Roman" w:cs="Times New Roman"/>
          <w:b/>
          <w:sz w:val="24"/>
          <w:szCs w:val="24"/>
        </w:rPr>
        <w:t>в условиях конкуренции</w:t>
      </w:r>
      <w:r w:rsidRPr="00331DC2">
        <w:rPr>
          <w:rFonts w:ascii="Times New Roman" w:hAnsi="Times New Roman" w:cs="Times New Roman"/>
          <w:sz w:val="24"/>
          <w:szCs w:val="24"/>
        </w:rPr>
        <w:t xml:space="preserve"> на товарном рынке, </w:t>
      </w:r>
      <w:r w:rsidRPr="00331DC2">
        <w:rPr>
          <w:rFonts w:ascii="Times New Roman" w:hAnsi="Times New Roman" w:cs="Times New Roman"/>
          <w:bCs/>
          <w:iCs/>
          <w:sz w:val="24"/>
          <w:szCs w:val="24"/>
        </w:rPr>
        <w:t>сопоставимом по</w:t>
      </w:r>
      <w:r w:rsidRPr="00331DC2">
        <w:rPr>
          <w:rFonts w:ascii="Times New Roman" w:hAnsi="Times New Roman" w:cs="Times New Roman"/>
          <w:sz w:val="24"/>
          <w:szCs w:val="24"/>
        </w:rPr>
        <w:t xml:space="preserve"> количеству продаваемого за определенный период товара, составу покупателей или продавцов товара (определяемому исходя из целей приобретения или продажи товара) и условиям доступа (далее - сопоставимый товарный рынок), которую устанавливают хозяйствующие субъекты, не входящие с покупателями или продавцами товара в одну группу лиц и не занимающие доминирующего положения на сопоставимом товарном рынке.</w:t>
      </w:r>
    </w:p>
    <w:p w:rsidR="00E0567D" w:rsidRPr="00331DC2" w:rsidRDefault="00E0567D" w:rsidP="00E0567D">
      <w:pPr>
        <w:spacing w:line="240" w:lineRule="auto"/>
        <w:ind w:firstLine="567"/>
        <w:contextualSpacing/>
        <w:jc w:val="both"/>
        <w:rPr>
          <w:rFonts w:ascii="Times New Roman" w:hAnsi="Times New Roman" w:cs="Times New Roman"/>
          <w:sz w:val="24"/>
          <w:szCs w:val="24"/>
        </w:rPr>
      </w:pPr>
      <w:r w:rsidRPr="00331DC2">
        <w:rPr>
          <w:rFonts w:ascii="Times New Roman" w:hAnsi="Times New Roman" w:cs="Times New Roman"/>
          <w:sz w:val="24"/>
          <w:szCs w:val="24"/>
        </w:rPr>
        <w:t>По данным, опубликованным на сайте Чукотского УФАС России, состояние конкуренции на рассматриваемом ими рынке не развитая, то есть, конкуренция практически отсутствует на данном рынке. Следовательно, цена на рассматриваемый товар, установленная на данном рынке, никоим образом не является ценой, сложившейся в условиях конкуренции на сопоставимом товарном рынке.</w:t>
      </w:r>
    </w:p>
    <w:p w:rsidR="00E0567D" w:rsidRDefault="00E0567D" w:rsidP="00E0567D">
      <w:pPr>
        <w:spacing w:line="240" w:lineRule="auto"/>
        <w:ind w:firstLine="567"/>
        <w:contextualSpacing/>
        <w:jc w:val="both"/>
        <w:rPr>
          <w:rFonts w:ascii="Times New Roman" w:hAnsi="Times New Roman" w:cs="Times New Roman"/>
          <w:sz w:val="24"/>
          <w:szCs w:val="24"/>
        </w:rPr>
      </w:pPr>
      <w:r w:rsidRPr="00331DC2">
        <w:rPr>
          <w:rFonts w:ascii="Times New Roman" w:hAnsi="Times New Roman" w:cs="Times New Roman"/>
          <w:sz w:val="24"/>
          <w:szCs w:val="24"/>
        </w:rPr>
        <w:t>В ходе анализа обоснованности расходов и прибыли ОАО «Саханефтегазсбыт» для оказания услуги хранения нефтепродуктов и приемо-складских операций на территории Республики Саха (Якутия) Комиссией Управления установлено следующее.</w:t>
      </w:r>
    </w:p>
    <w:p w:rsidR="00E0567D" w:rsidRDefault="00E0567D" w:rsidP="00E0567D">
      <w:pPr>
        <w:spacing w:line="240" w:lineRule="auto"/>
        <w:ind w:firstLine="567"/>
        <w:contextualSpacing/>
        <w:jc w:val="both"/>
        <w:rPr>
          <w:rFonts w:ascii="Times New Roman" w:hAnsi="Times New Roman" w:cs="Times New Roman"/>
          <w:sz w:val="24"/>
          <w:szCs w:val="24"/>
        </w:rPr>
      </w:pPr>
      <w:r w:rsidRPr="00331DC2">
        <w:rPr>
          <w:rFonts w:ascii="Times New Roman" w:hAnsi="Times New Roman" w:cs="Times New Roman"/>
          <w:sz w:val="24"/>
          <w:szCs w:val="24"/>
        </w:rPr>
        <w:t>Законодательством Российской Федерации государственное регулирование цен на услуги по хранению нефтепродуктов и услуг по приемо-складским операциям не предусмотрено.</w:t>
      </w:r>
    </w:p>
    <w:p w:rsidR="00E0567D" w:rsidRDefault="00E0567D" w:rsidP="00E0567D">
      <w:pPr>
        <w:spacing w:line="240" w:lineRule="auto"/>
        <w:ind w:firstLine="567"/>
        <w:contextualSpacing/>
        <w:jc w:val="both"/>
        <w:rPr>
          <w:rFonts w:ascii="Times New Roman" w:hAnsi="Times New Roman" w:cs="Times New Roman"/>
          <w:sz w:val="24"/>
          <w:szCs w:val="24"/>
        </w:rPr>
      </w:pPr>
      <w:r w:rsidRPr="00331DC2">
        <w:rPr>
          <w:rFonts w:ascii="Times New Roman" w:hAnsi="Times New Roman" w:cs="Times New Roman"/>
          <w:sz w:val="24"/>
          <w:szCs w:val="24"/>
        </w:rPr>
        <w:t xml:space="preserve">Частью 4 статьи 40  Налогового кодекса Российской Федерации рыночной ценой товара (работы, услуги) признается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 </w:t>
      </w:r>
    </w:p>
    <w:p w:rsidR="00E0567D" w:rsidRDefault="00E0567D" w:rsidP="00E0567D">
      <w:pPr>
        <w:spacing w:line="240" w:lineRule="auto"/>
        <w:ind w:firstLine="567"/>
        <w:contextualSpacing/>
        <w:jc w:val="both"/>
        <w:rPr>
          <w:rFonts w:ascii="Times New Roman" w:hAnsi="Times New Roman" w:cs="Times New Roman"/>
          <w:sz w:val="24"/>
          <w:szCs w:val="24"/>
        </w:rPr>
      </w:pPr>
      <w:r w:rsidRPr="00331DC2">
        <w:rPr>
          <w:rFonts w:ascii="Times New Roman" w:hAnsi="Times New Roman" w:cs="Times New Roman"/>
          <w:sz w:val="24"/>
          <w:szCs w:val="24"/>
        </w:rPr>
        <w:lastRenderedPageBreak/>
        <w:t xml:space="preserve">В соответствии с частью 10 статьи 40 Налогового кодекса РФ, </w:t>
      </w:r>
      <w:r w:rsidRPr="00331DC2">
        <w:rPr>
          <w:rFonts w:ascii="Times New Roman" w:hAnsi="Times New Roman" w:cs="Times New Roman"/>
          <w:bCs/>
          <w:iCs/>
          <w:sz w:val="24"/>
          <w:szCs w:val="24"/>
        </w:rPr>
        <w:t>при определении рыночных цен товара</w:t>
      </w:r>
      <w:r w:rsidRPr="00331DC2">
        <w:rPr>
          <w:rFonts w:ascii="Times New Roman" w:hAnsi="Times New Roman" w:cs="Times New Roman"/>
          <w:sz w:val="24"/>
          <w:szCs w:val="24"/>
        </w:rPr>
        <w:t xml:space="preserve">, в том числе, используется затратный метод, при котором рыночная </w:t>
      </w:r>
      <w:r w:rsidRPr="00331DC2">
        <w:rPr>
          <w:rFonts w:ascii="Times New Roman" w:hAnsi="Times New Roman" w:cs="Times New Roman"/>
          <w:bCs/>
          <w:iCs/>
          <w:sz w:val="24"/>
          <w:szCs w:val="24"/>
        </w:rPr>
        <w:t>цена</w:t>
      </w:r>
      <w:r w:rsidRPr="00331DC2">
        <w:rPr>
          <w:rFonts w:ascii="Times New Roman" w:hAnsi="Times New Roman" w:cs="Times New Roman"/>
          <w:sz w:val="24"/>
          <w:szCs w:val="24"/>
        </w:rPr>
        <w:t xml:space="preserve"> товаров, работ или услуг, реализуемых продавцом, </w:t>
      </w:r>
      <w:r w:rsidRPr="00331DC2">
        <w:rPr>
          <w:rFonts w:ascii="Times New Roman" w:hAnsi="Times New Roman" w:cs="Times New Roman"/>
          <w:bCs/>
          <w:iCs/>
          <w:sz w:val="24"/>
          <w:szCs w:val="24"/>
        </w:rPr>
        <w:t>определяется как сумма произведенных затрат и обычной для данной сферы деятельности прибыли</w:t>
      </w:r>
      <w:r w:rsidRPr="00331DC2">
        <w:rPr>
          <w:rFonts w:ascii="Times New Roman" w:hAnsi="Times New Roman" w:cs="Times New Roman"/>
          <w:sz w:val="24"/>
          <w:szCs w:val="24"/>
        </w:rPr>
        <w:t>. При этом учитываются обычные в подобных случаях прямые и косвенные затраты на производство (приобретение) и (или) реализацию товаров, работ или услуг, обычные в подобных случаях затраты на транспортировку, хранение, страхование и иные подобные затраты</w:t>
      </w:r>
      <w:r>
        <w:rPr>
          <w:rFonts w:ascii="Times New Roman" w:hAnsi="Times New Roman" w:cs="Times New Roman"/>
          <w:sz w:val="24"/>
          <w:szCs w:val="24"/>
        </w:rPr>
        <w:t>.</w:t>
      </w:r>
    </w:p>
    <w:p w:rsidR="00E0567D" w:rsidRPr="00792144" w:rsidRDefault="00E0567D" w:rsidP="00E0567D">
      <w:pPr>
        <w:spacing w:line="240" w:lineRule="auto"/>
        <w:ind w:firstLine="567"/>
        <w:contextualSpacing/>
        <w:jc w:val="both"/>
        <w:rPr>
          <w:rFonts w:ascii="Times New Roman" w:hAnsi="Times New Roman" w:cs="Times New Roman"/>
          <w:sz w:val="24"/>
          <w:szCs w:val="24"/>
        </w:rPr>
      </w:pPr>
      <w:r w:rsidRPr="00792144">
        <w:rPr>
          <w:rFonts w:ascii="Times New Roman" w:hAnsi="Times New Roman" w:cs="Times New Roman"/>
          <w:sz w:val="24"/>
          <w:szCs w:val="24"/>
        </w:rPr>
        <w:t xml:space="preserve">В соответствии с частью 1 статьи 252 Налогового кодекса Российской Федерации расходами признаются обоснованные и документально подтвержденные затраты. </w:t>
      </w:r>
      <w:r w:rsidRPr="00792144">
        <w:rPr>
          <w:rFonts w:ascii="Times New Roman" w:hAnsi="Times New Roman" w:cs="Times New Roman"/>
          <w:bCs/>
          <w:iCs/>
          <w:sz w:val="24"/>
          <w:szCs w:val="24"/>
        </w:rPr>
        <w:t>Под обоснованными расходами понимаются</w:t>
      </w:r>
      <w:r w:rsidRPr="00792144">
        <w:rPr>
          <w:rFonts w:ascii="Times New Roman" w:hAnsi="Times New Roman" w:cs="Times New Roman"/>
          <w:sz w:val="24"/>
          <w:szCs w:val="24"/>
        </w:rPr>
        <w:t xml:space="preserve"> </w:t>
      </w:r>
      <w:r w:rsidRPr="00792144">
        <w:rPr>
          <w:rFonts w:ascii="Times New Roman" w:hAnsi="Times New Roman" w:cs="Times New Roman"/>
          <w:bCs/>
          <w:iCs/>
          <w:sz w:val="24"/>
          <w:szCs w:val="24"/>
        </w:rPr>
        <w:t>экономически оправданные затраты</w:t>
      </w:r>
      <w:r w:rsidRPr="00792144">
        <w:rPr>
          <w:rFonts w:ascii="Times New Roman" w:hAnsi="Times New Roman" w:cs="Times New Roman"/>
          <w:sz w:val="24"/>
          <w:szCs w:val="24"/>
        </w:rPr>
        <w:t xml:space="preserve">, </w:t>
      </w:r>
      <w:r w:rsidRPr="00792144">
        <w:rPr>
          <w:rFonts w:ascii="Times New Roman" w:hAnsi="Times New Roman" w:cs="Times New Roman"/>
          <w:bCs/>
          <w:iCs/>
          <w:sz w:val="24"/>
          <w:szCs w:val="24"/>
        </w:rPr>
        <w:t>подтвержденные документами</w:t>
      </w:r>
      <w:r w:rsidRPr="00792144">
        <w:rPr>
          <w:rFonts w:ascii="Times New Roman" w:hAnsi="Times New Roman" w:cs="Times New Roman"/>
          <w:sz w:val="24"/>
          <w:szCs w:val="24"/>
        </w:rPr>
        <w:t xml:space="preserve">, оформленными в соответствии с законодательством Российской Федерации. </w:t>
      </w:r>
      <w:r w:rsidRPr="00792144">
        <w:rPr>
          <w:rFonts w:ascii="Times New Roman" w:hAnsi="Times New Roman" w:cs="Times New Roman"/>
          <w:bCs/>
          <w:iCs/>
          <w:sz w:val="24"/>
          <w:szCs w:val="24"/>
        </w:rPr>
        <w:t>Расходами признаются</w:t>
      </w:r>
      <w:r w:rsidRPr="00792144">
        <w:rPr>
          <w:rFonts w:ascii="Times New Roman" w:hAnsi="Times New Roman" w:cs="Times New Roman"/>
          <w:sz w:val="24"/>
          <w:szCs w:val="24"/>
        </w:rPr>
        <w:t xml:space="preserve"> любые затраты при условии, что </w:t>
      </w:r>
      <w:r w:rsidRPr="00792144">
        <w:rPr>
          <w:rFonts w:ascii="Times New Roman" w:hAnsi="Times New Roman" w:cs="Times New Roman"/>
          <w:bCs/>
          <w:iCs/>
          <w:sz w:val="24"/>
          <w:szCs w:val="24"/>
        </w:rPr>
        <w:t>они произведены для осуществления деятельности, направленной на получение дохода</w:t>
      </w:r>
      <w:r w:rsidRPr="00792144">
        <w:rPr>
          <w:rFonts w:ascii="Times New Roman" w:hAnsi="Times New Roman" w:cs="Times New Roman"/>
          <w:sz w:val="24"/>
          <w:szCs w:val="24"/>
        </w:rPr>
        <w:t>.</w:t>
      </w:r>
    </w:p>
    <w:p w:rsidR="00E0567D" w:rsidRPr="00331DC2" w:rsidRDefault="00E0567D" w:rsidP="00E0567D">
      <w:pPr>
        <w:spacing w:line="240" w:lineRule="auto"/>
        <w:ind w:firstLine="567"/>
        <w:contextualSpacing/>
        <w:jc w:val="both"/>
        <w:rPr>
          <w:rFonts w:ascii="Times New Roman" w:hAnsi="Times New Roman" w:cs="Times New Roman"/>
          <w:sz w:val="24"/>
          <w:szCs w:val="24"/>
        </w:rPr>
      </w:pPr>
      <w:r w:rsidRPr="00331DC2">
        <w:rPr>
          <w:rFonts w:ascii="Times New Roman" w:hAnsi="Times New Roman" w:cs="Times New Roman"/>
          <w:sz w:val="24"/>
          <w:szCs w:val="24"/>
        </w:rPr>
        <w:t>Согласно порядку выполнения операций по приему, хранению и отпуску нефтепродуктов на филиалах-нефтебазах ОАО «Саханефтегазсбыт», утвержденный генеральным директором ОАО «Саханефтегазсбыт» И.Ю. Никитиным 23.03.2011 г. (в материалы настоящего дела представлен письмом от 25.05.2012 №07-04/1/498):</w:t>
      </w:r>
    </w:p>
    <w:p w:rsidR="00E0567D" w:rsidRPr="00331DC2" w:rsidRDefault="00E0567D" w:rsidP="00E0567D">
      <w:pPr>
        <w:spacing w:line="240" w:lineRule="auto"/>
        <w:ind w:firstLine="567"/>
        <w:contextualSpacing/>
        <w:jc w:val="both"/>
        <w:rPr>
          <w:rFonts w:ascii="Times New Roman" w:hAnsi="Times New Roman" w:cs="Times New Roman"/>
          <w:sz w:val="24"/>
          <w:szCs w:val="24"/>
        </w:rPr>
      </w:pPr>
      <w:r w:rsidRPr="00331DC2">
        <w:rPr>
          <w:rFonts w:ascii="Times New Roman" w:hAnsi="Times New Roman" w:cs="Times New Roman"/>
          <w:sz w:val="24"/>
          <w:szCs w:val="24"/>
        </w:rPr>
        <w:t>- по приемо-складским операциям разница в выполняемых операциях предусмотрена только между видами транспорта, с которого производится прием и, в которую, производится отпуск нефтепродуктов: водный и наземный транспорт;</w:t>
      </w:r>
    </w:p>
    <w:p w:rsidR="00E0567D" w:rsidRPr="00331DC2" w:rsidRDefault="00E0567D" w:rsidP="00E0567D">
      <w:pPr>
        <w:spacing w:line="240" w:lineRule="auto"/>
        <w:ind w:firstLine="567"/>
        <w:contextualSpacing/>
        <w:jc w:val="both"/>
        <w:rPr>
          <w:rFonts w:ascii="Times New Roman" w:hAnsi="Times New Roman" w:cs="Times New Roman"/>
          <w:sz w:val="24"/>
          <w:szCs w:val="24"/>
        </w:rPr>
      </w:pPr>
      <w:r w:rsidRPr="00331DC2">
        <w:rPr>
          <w:rFonts w:ascii="Times New Roman" w:hAnsi="Times New Roman" w:cs="Times New Roman"/>
          <w:sz w:val="24"/>
          <w:szCs w:val="24"/>
        </w:rPr>
        <w:t xml:space="preserve">- набор операций, оказываемых ОАО «Саханефтегазсбыт» при оказании услуг по хранению нефтепродуктов и услуг по приемо-складским операциям, является единым по всем видам нефтепродуктов для всех поклажедателей, независимо от цели назначения хранимого топлива и места его происхождения. </w:t>
      </w:r>
    </w:p>
    <w:p w:rsidR="00E0567D" w:rsidRPr="00331DC2" w:rsidRDefault="00E0567D" w:rsidP="00E0567D">
      <w:pPr>
        <w:spacing w:line="240" w:lineRule="auto"/>
        <w:ind w:firstLine="567"/>
        <w:contextualSpacing/>
        <w:jc w:val="both"/>
        <w:rPr>
          <w:rFonts w:ascii="Times New Roman" w:hAnsi="Times New Roman" w:cs="Times New Roman"/>
          <w:sz w:val="24"/>
          <w:szCs w:val="24"/>
        </w:rPr>
      </w:pPr>
      <w:r w:rsidRPr="00331DC2">
        <w:rPr>
          <w:rFonts w:ascii="Times New Roman" w:hAnsi="Times New Roman" w:cs="Times New Roman"/>
          <w:sz w:val="24"/>
          <w:szCs w:val="24"/>
        </w:rPr>
        <w:t>Таким образом, различий в размере себестоимости услуг по хранению в 1 сутки и приемо-складским операциям 1 тонны нефтепродуктов в зависимости от категории поклажедателей и цели назначения принимаемого и хранимого топлива и места его происхождения не возникает.</w:t>
      </w:r>
    </w:p>
    <w:p w:rsidR="00E0567D" w:rsidRPr="00331DC2" w:rsidRDefault="00E0567D" w:rsidP="00E0567D">
      <w:pPr>
        <w:adjustRightInd w:val="0"/>
        <w:spacing w:line="240" w:lineRule="auto"/>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Согласно пояснению ОАО «Саханефтегазсбыт» при определении и утверждении снабженческо-сбытовой и торговой надбавки на нефтепродукты в качестве основной расчетной и контрольной величины используется общая плановая выручка (экономически обоснованный объем финансовых средств, необходимый для осуществления Обществом нормальной безубыточной хозяйственной деятельности в течение периода регулирования) на все виды основной деятельности Общества. Общая тарифная выручка согласно учетной политике Общества распределяется между видами деятельности пропорционально валовому доходу.</w:t>
      </w:r>
    </w:p>
    <w:p w:rsidR="00E0567D" w:rsidRPr="00331DC2" w:rsidRDefault="00E0567D" w:rsidP="00E0567D">
      <w:pPr>
        <w:pStyle w:val="af"/>
        <w:ind w:firstLine="567"/>
        <w:contextualSpacing/>
        <w:jc w:val="both"/>
        <w:rPr>
          <w:rFonts w:cs="Times New Roman"/>
          <w:lang w:val="ru-RU"/>
        </w:rPr>
      </w:pPr>
      <w:r w:rsidRPr="00331DC2">
        <w:rPr>
          <w:rFonts w:cs="Times New Roman"/>
          <w:lang w:val="ru-RU"/>
        </w:rPr>
        <w:t>Тариф на услуги хранения нефтепродуктов рассчитывается таким образом, чтобы при плановых объемах переработки нефтепродуктов фактическая тарифная выручка была равна плановой.</w:t>
      </w:r>
    </w:p>
    <w:p w:rsidR="00E0567D" w:rsidRPr="00331DC2" w:rsidRDefault="00E0567D" w:rsidP="00E0567D">
      <w:pPr>
        <w:spacing w:line="240" w:lineRule="auto"/>
        <w:ind w:firstLine="567"/>
        <w:contextualSpacing/>
        <w:jc w:val="both"/>
        <w:rPr>
          <w:rFonts w:ascii="Times New Roman" w:hAnsi="Times New Roman" w:cs="Times New Roman"/>
          <w:sz w:val="24"/>
          <w:szCs w:val="24"/>
        </w:rPr>
      </w:pPr>
      <w:r w:rsidRPr="00331DC2">
        <w:rPr>
          <w:rFonts w:ascii="Times New Roman" w:hAnsi="Times New Roman" w:cs="Times New Roman"/>
          <w:sz w:val="24"/>
          <w:szCs w:val="24"/>
        </w:rPr>
        <w:t>Ставка тарифа за хранение нефтепродуктов определяется путем деления плановой тарифной выручки (руб.) на планируемый объем годового хранения (тн/дней), что подтверждается расчетом стоимости услуг по хранению нефтепродуктов на филиалах-нефтебазах Общества в 2011 году (таблица 1), а также расчетом тарифов на услуги по приему, складским операциям, хранению нефтепродуктов, ставки снабженческо-сбытовой и торговой надбавки для Общества на 2011 год (таблица 3).</w:t>
      </w:r>
    </w:p>
    <w:p w:rsidR="00E0567D" w:rsidRPr="00331DC2" w:rsidRDefault="00E0567D" w:rsidP="00E0567D">
      <w:pPr>
        <w:spacing w:line="240" w:lineRule="auto"/>
        <w:ind w:firstLine="567"/>
        <w:contextualSpacing/>
        <w:jc w:val="both"/>
        <w:rPr>
          <w:rFonts w:ascii="Times New Roman" w:hAnsi="Times New Roman" w:cs="Times New Roman"/>
          <w:sz w:val="24"/>
          <w:szCs w:val="24"/>
        </w:rPr>
      </w:pPr>
      <w:r w:rsidRPr="00331DC2">
        <w:rPr>
          <w:rFonts w:ascii="Times New Roman" w:hAnsi="Times New Roman" w:cs="Times New Roman"/>
          <w:sz w:val="24"/>
          <w:szCs w:val="24"/>
        </w:rPr>
        <w:t xml:space="preserve">Тариф на услуги по приемо-складским операциям рассчитывается таким образом, чтобы при плановых объемах переработки нефтепродуктов фактическая тарифная выручка была равна плановой, что подтверждается расчетом стоимости услуг по приемо-складским операциям на филиалах-нефтебазах Общества в 2011 году (таблица 2), а также расчетом тарифов на услуги по приему, складским операциям, хранению нефтепродуктов, </w:t>
      </w:r>
      <w:r w:rsidRPr="00331DC2">
        <w:rPr>
          <w:rFonts w:ascii="Times New Roman" w:hAnsi="Times New Roman" w:cs="Times New Roman"/>
          <w:sz w:val="24"/>
          <w:szCs w:val="24"/>
        </w:rPr>
        <w:lastRenderedPageBreak/>
        <w:t>ставки снабженческо-сбытовой и торговой надбавок для Общества на 2011 год (таблица 3).</w:t>
      </w:r>
    </w:p>
    <w:p w:rsidR="00E0567D" w:rsidRPr="00331DC2" w:rsidRDefault="00E0567D" w:rsidP="00E0567D">
      <w:pPr>
        <w:spacing w:line="240" w:lineRule="auto"/>
        <w:ind w:firstLine="567"/>
        <w:contextualSpacing/>
        <w:jc w:val="both"/>
        <w:rPr>
          <w:rFonts w:ascii="Times New Roman" w:hAnsi="Times New Roman" w:cs="Times New Roman"/>
          <w:sz w:val="24"/>
          <w:szCs w:val="24"/>
        </w:rPr>
      </w:pPr>
      <w:r w:rsidRPr="00331DC2">
        <w:rPr>
          <w:rFonts w:ascii="Times New Roman" w:hAnsi="Times New Roman" w:cs="Times New Roman"/>
          <w:sz w:val="24"/>
          <w:szCs w:val="24"/>
        </w:rPr>
        <w:t>Анализ расчетов, представленных ОАО «Саханефтегазсбыт» в материалы дела (таблицы 1-3) опровергает довод Общества об обоснованном распределении сумм необходимых расходов в разрезе категорий принимаемых и хранимых нефтепродуктов, поклажедателей пропорционально годовому объему принимаемых и хранимых нефтепродуктов в тоннах и в тонно/днях (таблицы 5, 6 в приложениях 1, 2 к решению).</w:t>
      </w:r>
    </w:p>
    <w:p w:rsidR="00E0567D" w:rsidRPr="00331DC2"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 xml:space="preserve">С учетом вышеуказанного, исходя из плановых показателей объема приемо-складских услуг и услуг по хранению и валового необходимого дохода по видам деятельности по ОАО «Саханефтегазсбыт» на 2011 год, себестоимость услуг составляет: </w:t>
      </w:r>
    </w:p>
    <w:p w:rsidR="00E0567D" w:rsidRDefault="00E0567D" w:rsidP="00E0567D">
      <w:pPr>
        <w:contextualSpacing/>
        <w:jc w:val="both"/>
        <w:rPr>
          <w:rFonts w:ascii="Times New Roman" w:hAnsi="Times New Roman" w:cs="Times New Roman"/>
          <w:sz w:val="24"/>
          <w:szCs w:val="24"/>
        </w:rPr>
      </w:pPr>
      <w:r w:rsidRPr="00331DC2">
        <w:rPr>
          <w:rFonts w:ascii="Times New Roman" w:hAnsi="Times New Roman" w:cs="Times New Roman"/>
          <w:sz w:val="24"/>
          <w:szCs w:val="24"/>
        </w:rPr>
        <w:t xml:space="preserve">- по приемо-складским операциям (по аналогии с услугами по хранению - ставка тарифа на ПСО определяется путем деления плановой тарифной выручки (руб.) на планируемый объем приема нефтепродуктов за год (тн)) – 728,33 руб. за 1 тн. (423341 тыс. руб./581,25 тыс.тн.); </w:t>
      </w:r>
    </w:p>
    <w:p w:rsidR="00E0567D" w:rsidRDefault="00E0567D" w:rsidP="00E0567D">
      <w:pPr>
        <w:contextualSpacing/>
        <w:jc w:val="both"/>
        <w:rPr>
          <w:rFonts w:ascii="Times New Roman" w:hAnsi="Times New Roman" w:cs="Times New Roman"/>
          <w:sz w:val="24"/>
          <w:szCs w:val="24"/>
        </w:rPr>
      </w:pPr>
      <w:r w:rsidRPr="00792144">
        <w:rPr>
          <w:rFonts w:ascii="Times New Roman" w:hAnsi="Times New Roman" w:cs="Times New Roman"/>
          <w:sz w:val="24"/>
          <w:szCs w:val="24"/>
        </w:rPr>
        <w:t>- услуги по хранению – 6,61 руб. за 1 тн/сут. (658507,8 тыс.руб./501,83 тыс.тн/средний срок хранения 198,5 дней).</w:t>
      </w:r>
    </w:p>
    <w:p w:rsidR="00E0567D" w:rsidRDefault="00E0567D" w:rsidP="00E0567D">
      <w:pPr>
        <w:spacing w:line="240" w:lineRule="auto"/>
        <w:ind w:firstLine="567"/>
        <w:contextualSpacing/>
        <w:jc w:val="both"/>
        <w:rPr>
          <w:rFonts w:ascii="Times New Roman" w:hAnsi="Times New Roman" w:cs="Times New Roman"/>
          <w:sz w:val="24"/>
          <w:szCs w:val="24"/>
        </w:rPr>
      </w:pPr>
      <w:r w:rsidRPr="00792144">
        <w:rPr>
          <w:rFonts w:ascii="Times New Roman" w:hAnsi="Times New Roman" w:cs="Times New Roman"/>
          <w:sz w:val="24"/>
          <w:szCs w:val="24"/>
        </w:rPr>
        <w:t>Довод ОАО «Саханефтегазсбыт» о том, что фактические расходы ОАО «Саханефтегазсбыт» за 2011 год, учтенные в тарифах на услуги хранения нефтепродуктов и приемо-складские операции, не превысили необходимые расходы для оказания данных услуг, Комиссией отклоняется ввиду следующего.</w:t>
      </w:r>
    </w:p>
    <w:p w:rsidR="00E0567D" w:rsidRPr="00792144" w:rsidRDefault="00E0567D" w:rsidP="00E0567D">
      <w:pPr>
        <w:spacing w:line="240" w:lineRule="auto"/>
        <w:ind w:firstLine="567"/>
        <w:contextualSpacing/>
        <w:jc w:val="both"/>
        <w:rPr>
          <w:rFonts w:ascii="Times New Roman" w:hAnsi="Times New Roman" w:cs="Times New Roman"/>
          <w:sz w:val="24"/>
          <w:szCs w:val="24"/>
        </w:rPr>
      </w:pPr>
      <w:r w:rsidRPr="00792144">
        <w:rPr>
          <w:rFonts w:ascii="Times New Roman" w:hAnsi="Times New Roman" w:cs="Times New Roman"/>
          <w:sz w:val="24"/>
          <w:szCs w:val="24"/>
        </w:rPr>
        <w:t>Согласно расчетам, представленным ОАО «Саханефтегазсбыт» в материалы дела письмами от 19.06.2012 №07-04/1/612 и от 25.06.2012 №02/2-22ф-99, фактические расходы на производство и реализацию услуг хранения нефтепродуктов и прибыль, от осуществления данного вида деятельности составили 682336,55 тыс.руб., при объеме фактически оказанных услуг хранения нефтепродуктов в 93151,05 тыс.тн.-дней. Таким образом, фактически за 2011 год расходы и прибыль по оказанию услуг по хранению 1 тн. нефтепродуктов в 1 сутки составило 7,33 рубля (682336,55 тыс.руб./93151,05 тыс.тн./дней).</w:t>
      </w:r>
    </w:p>
    <w:p w:rsidR="00E0567D" w:rsidRPr="00331DC2" w:rsidRDefault="00E0567D" w:rsidP="00E0567D">
      <w:pPr>
        <w:pStyle w:val="af"/>
        <w:ind w:firstLine="709"/>
        <w:contextualSpacing/>
        <w:jc w:val="both"/>
        <w:rPr>
          <w:rFonts w:cs="Times New Roman"/>
          <w:lang w:val="ru-RU"/>
        </w:rPr>
      </w:pPr>
      <w:r w:rsidRPr="00792144">
        <w:rPr>
          <w:rFonts w:cs="Times New Roman"/>
          <w:lang w:val="ru-RU"/>
        </w:rPr>
        <w:t>Фактические расходы же на производство и</w:t>
      </w:r>
      <w:r w:rsidRPr="00331DC2">
        <w:rPr>
          <w:rFonts w:cs="Times New Roman"/>
          <w:lang w:val="ru-RU"/>
        </w:rPr>
        <w:t xml:space="preserve"> реализацию услуг по приемо-складским операциям и прибыль, от осуществления данного вида деятельности ОАО «Саханефтегазсбыт» составили 435553,58 тыс.руб., при объеме фактически оказанных услуг ПСО в 611,77 тыс.тн. Таким образом, фактически за 2011 год расходы и прибыль по оказанию услуг по ПСО 1 тн. нефтепродуктов составило 711,96 рубля (435553,58 тыс.руб./ 611,77 тыс.тн.).</w:t>
      </w:r>
    </w:p>
    <w:p w:rsidR="00E0567D" w:rsidRPr="00331DC2" w:rsidRDefault="00E0567D" w:rsidP="00E0567D">
      <w:pPr>
        <w:pStyle w:val="af"/>
        <w:ind w:firstLine="709"/>
        <w:contextualSpacing/>
        <w:jc w:val="both"/>
        <w:rPr>
          <w:rFonts w:cs="Times New Roman"/>
          <w:lang w:val="ru-RU"/>
        </w:rPr>
      </w:pPr>
      <w:r w:rsidRPr="00331DC2">
        <w:rPr>
          <w:rFonts w:cs="Times New Roman"/>
          <w:lang w:val="ru-RU"/>
        </w:rPr>
        <w:t xml:space="preserve">Из вышеизложенного следует, что по результатам 2011 г. расходы и прибыль, включенные Обществом в тариф хранения нефтепродуктов прочих поклажедателей и ОАО «АЛРОСА» в размере 8,29 руб./тн./сут., превысили фактически понесенные ОАО «Саханефтегазсбыт» расходы и прибыль при оказании услуг хранения 1 тонны нефтепродукта в 1 сутки. </w:t>
      </w:r>
    </w:p>
    <w:p w:rsidR="00E0567D" w:rsidRPr="00331DC2" w:rsidRDefault="00E0567D" w:rsidP="00E0567D">
      <w:pPr>
        <w:pStyle w:val="af"/>
        <w:ind w:firstLine="709"/>
        <w:contextualSpacing/>
        <w:jc w:val="both"/>
        <w:rPr>
          <w:rFonts w:cs="Times New Roman"/>
          <w:lang w:val="ru-RU"/>
        </w:rPr>
      </w:pPr>
      <w:r w:rsidRPr="00331DC2">
        <w:rPr>
          <w:rFonts w:cs="Times New Roman"/>
          <w:lang w:val="ru-RU"/>
        </w:rPr>
        <w:t>Из вышеизложенного следует, что по результатам 2011 г. расходы и прибыль, включенные в тариф для нефтепродуктов (кроме местного топлива) в размере 774,89 руб./тн., превысили фактически понесенные ОАО «Саханефтегазсбыт» расходы и прибыль при оказании услуг приемо-складских операций 1 тонны нефтепродукта.</w:t>
      </w:r>
    </w:p>
    <w:p w:rsidR="00E0567D" w:rsidRPr="00331DC2" w:rsidRDefault="00E0567D" w:rsidP="00E0567D">
      <w:pPr>
        <w:pStyle w:val="af"/>
        <w:ind w:firstLine="709"/>
        <w:contextualSpacing/>
        <w:jc w:val="both"/>
        <w:rPr>
          <w:rFonts w:cs="Times New Roman"/>
          <w:lang w:val="ru-RU"/>
        </w:rPr>
      </w:pPr>
      <w:r w:rsidRPr="00331DC2">
        <w:rPr>
          <w:rFonts w:cs="Times New Roman"/>
          <w:lang w:val="ru-RU"/>
        </w:rPr>
        <w:t>Довод ОАО «Саханефтегазсбыт» о необходимости привлечения в качестве заинтересованного лица ГКЦ-РЭК РС (Я) Комиссией отклонен ввиду следующего.</w:t>
      </w:r>
    </w:p>
    <w:p w:rsidR="00E0567D" w:rsidRPr="00331DC2" w:rsidRDefault="00E0567D" w:rsidP="00E0567D">
      <w:pPr>
        <w:adjustRightInd w:val="0"/>
        <w:contextualSpacing/>
        <w:jc w:val="both"/>
        <w:rPr>
          <w:rFonts w:ascii="Times New Roman" w:hAnsi="Times New Roman" w:cs="Times New Roman"/>
          <w:sz w:val="24"/>
          <w:szCs w:val="24"/>
        </w:rPr>
      </w:pPr>
      <w:r w:rsidRPr="00331DC2">
        <w:rPr>
          <w:rFonts w:ascii="Times New Roman" w:hAnsi="Times New Roman" w:cs="Times New Roman"/>
          <w:sz w:val="24"/>
          <w:szCs w:val="24"/>
        </w:rPr>
        <w:t>Согласно Указу Президента РФ от 28.02.1995 N 221 «О мерах по упорядочению государственного регулирования цен (тарифов)» цены на услуги хранения нефтепродуктов и приемо-складские операции нефтебаз не подлежат государственному регулированию.</w:t>
      </w:r>
    </w:p>
    <w:p w:rsidR="00E0567D" w:rsidRPr="00331DC2" w:rsidRDefault="00E0567D" w:rsidP="00E0567D">
      <w:pPr>
        <w:adjustRightInd w:val="0"/>
        <w:ind w:firstLine="567"/>
        <w:contextualSpacing/>
        <w:jc w:val="both"/>
        <w:rPr>
          <w:rFonts w:ascii="Times New Roman" w:hAnsi="Times New Roman" w:cs="Times New Roman"/>
          <w:sz w:val="24"/>
          <w:szCs w:val="24"/>
        </w:rPr>
      </w:pPr>
      <w:r w:rsidRPr="00331DC2">
        <w:rPr>
          <w:rFonts w:ascii="Times New Roman" w:hAnsi="Times New Roman" w:cs="Times New Roman"/>
          <w:sz w:val="24"/>
          <w:szCs w:val="24"/>
        </w:rPr>
        <w:lastRenderedPageBreak/>
        <w:t>Соответственно, в Положении о ГКЦ-РЭК РС (Я), утвержденном Постановлением Правительства РС (Я) от 22.11.2007 N 468, отсутствуют полномочия ГКЦ-РЭК РС (Я) по установлению цен на услуги хранения нефтепродуктов и приемо-складские операции нефтебаз.</w:t>
      </w:r>
    </w:p>
    <w:p w:rsidR="00E0567D" w:rsidRPr="00331DC2" w:rsidRDefault="00E0567D" w:rsidP="00E0567D">
      <w:pPr>
        <w:adjustRightInd w:val="0"/>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Рассматриваемые в деле №02-78/12А о нарушении антимонопольного законодательства цены на услуги хранения нефтепродуктов и приемо-складские операции нефтебаз-филиалов ОАО «Саханефтегазсбыт» в 2011 г. установлены приказами ОАО «Саханефтегазсбыт».</w:t>
      </w:r>
    </w:p>
    <w:p w:rsidR="00E0567D" w:rsidRPr="00331DC2" w:rsidRDefault="00E0567D" w:rsidP="00E0567D">
      <w:pPr>
        <w:adjustRightInd w:val="0"/>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Исходя из вышеизложенного, ГКЦ-РЭК РС (Я), не устанавливает цены на услуги нефтебаз ОАО «Саханефтегазсбыт», ввиду отсутствия соответствующих полномочий.</w:t>
      </w:r>
    </w:p>
    <w:p w:rsidR="00E0567D" w:rsidRPr="00331DC2" w:rsidRDefault="00E0567D" w:rsidP="00E0567D">
      <w:pPr>
        <w:pStyle w:val="af"/>
        <w:ind w:firstLine="709"/>
        <w:contextualSpacing/>
        <w:jc w:val="both"/>
        <w:rPr>
          <w:rFonts w:cs="Times New Roman"/>
          <w:lang w:val="ru-RU"/>
        </w:rPr>
      </w:pPr>
      <w:r w:rsidRPr="00331DC2">
        <w:rPr>
          <w:rFonts w:cs="Times New Roman"/>
          <w:lang w:val="ru-RU"/>
        </w:rPr>
        <w:t>На основании вышеизложенного, Комиссия приходит к следующим выводам:</w:t>
      </w:r>
    </w:p>
    <w:p w:rsidR="00E0567D" w:rsidRPr="00331DC2" w:rsidRDefault="00E0567D" w:rsidP="00E0567D">
      <w:pPr>
        <w:pStyle w:val="af"/>
        <w:ind w:firstLine="709"/>
        <w:contextualSpacing/>
        <w:jc w:val="both"/>
        <w:rPr>
          <w:rFonts w:cs="Times New Roman"/>
          <w:lang w:val="ru-RU"/>
        </w:rPr>
      </w:pPr>
      <w:r w:rsidRPr="00331DC2">
        <w:rPr>
          <w:rFonts w:cs="Times New Roman"/>
          <w:lang w:val="ru-RU"/>
        </w:rPr>
        <w:t>1. Отсутствие ведения раздельного учета расходов, а также обоснованного метода распределения расходов в разрезе места происхождения (нефтепродукты и местное топливо) принимаемых и хранимых нефтепродуктов, в разрезе поклажедателей по критериям предназначения топлива (госнужда, для сельхозтоваропроизводителей, страхового запаса) свидетельствует об отсутствии экономической обоснованности установленных тарифов на приемо-складские операции и на услуги хранения нефтепродуктов.</w:t>
      </w:r>
    </w:p>
    <w:p w:rsidR="00E0567D" w:rsidRPr="00331DC2" w:rsidRDefault="00E0567D" w:rsidP="00E0567D">
      <w:pPr>
        <w:pStyle w:val="af"/>
        <w:ind w:firstLine="709"/>
        <w:contextualSpacing/>
        <w:jc w:val="both"/>
        <w:rPr>
          <w:rFonts w:cs="Times New Roman"/>
          <w:lang w:val="ru-RU"/>
        </w:rPr>
      </w:pPr>
      <w:r w:rsidRPr="00331DC2">
        <w:rPr>
          <w:rFonts w:cs="Times New Roman"/>
          <w:lang w:val="ru-RU"/>
        </w:rPr>
        <w:t>Так, при себестоимости услуг по приемо-складским операциям в размере 728,33 руб. за 1 тн., тариф по нефтепродуктам, кроме местного топлива, установлен в размере 774,95 руб./тн.</w:t>
      </w:r>
    </w:p>
    <w:p w:rsidR="00E0567D" w:rsidRPr="00331DC2" w:rsidRDefault="00E0567D" w:rsidP="00E0567D">
      <w:pPr>
        <w:pStyle w:val="af"/>
        <w:ind w:firstLine="709"/>
        <w:contextualSpacing/>
        <w:jc w:val="both"/>
        <w:rPr>
          <w:rFonts w:cs="Times New Roman"/>
          <w:lang w:val="ru-RU"/>
        </w:rPr>
      </w:pPr>
      <w:r w:rsidRPr="00331DC2">
        <w:rPr>
          <w:rFonts w:cs="Times New Roman"/>
          <w:lang w:val="ru-RU"/>
        </w:rPr>
        <w:t>При себестоимости услуг по хранению нефтепродуктов 6,61 руб. за 1 тн./сут. тариф установлен для местного топлива – 7,06 руб./тн./сут., прочих поклажедателей и АК «АЛРОСА» – 8,29 руб./тн./сут.</w:t>
      </w:r>
    </w:p>
    <w:p w:rsidR="00E0567D" w:rsidRDefault="00E0567D" w:rsidP="00E0567D">
      <w:pPr>
        <w:pStyle w:val="af"/>
        <w:ind w:firstLine="709"/>
        <w:contextualSpacing/>
        <w:jc w:val="both"/>
        <w:rPr>
          <w:rFonts w:cs="Times New Roman"/>
          <w:lang w:val="ru-RU"/>
        </w:rPr>
      </w:pPr>
    </w:p>
    <w:p w:rsidR="00E0567D" w:rsidRPr="00331DC2" w:rsidRDefault="00E0567D" w:rsidP="00E0567D">
      <w:pPr>
        <w:pStyle w:val="af"/>
        <w:ind w:firstLine="709"/>
        <w:contextualSpacing/>
        <w:jc w:val="both"/>
        <w:rPr>
          <w:rFonts w:cs="Times New Roman"/>
          <w:lang w:val="ru-RU"/>
        </w:rPr>
      </w:pPr>
      <w:r w:rsidRPr="00331DC2">
        <w:rPr>
          <w:rFonts w:cs="Times New Roman"/>
          <w:lang w:val="ru-RU"/>
        </w:rPr>
        <w:t>2. Себестоимость услуг по приемо-складским операциям нефтепродуктов (кроме местного топлива), превышает сумму необходимых расходов для производства и реализации услуги, в том числе за счет отнесения суммы необходимой прибыли от услуг приемо-складских операций по местному топливу на себестоимость услуг хранения иных нефтепродуктов (кроме местного топлива).</w:t>
      </w:r>
    </w:p>
    <w:p w:rsidR="00E0567D" w:rsidRDefault="00E0567D" w:rsidP="00E0567D">
      <w:pPr>
        <w:pStyle w:val="af"/>
        <w:ind w:firstLine="709"/>
        <w:contextualSpacing/>
        <w:jc w:val="both"/>
        <w:rPr>
          <w:rFonts w:cs="Times New Roman"/>
          <w:lang w:val="ru-RU"/>
        </w:rPr>
      </w:pPr>
    </w:p>
    <w:p w:rsidR="00E0567D" w:rsidRPr="00331DC2" w:rsidRDefault="00E0567D" w:rsidP="00E0567D">
      <w:pPr>
        <w:pStyle w:val="af"/>
        <w:ind w:firstLine="709"/>
        <w:contextualSpacing/>
        <w:jc w:val="both"/>
        <w:rPr>
          <w:rFonts w:cs="Times New Roman"/>
          <w:lang w:val="ru-RU"/>
        </w:rPr>
      </w:pPr>
      <w:r w:rsidRPr="00331DC2">
        <w:rPr>
          <w:rFonts w:cs="Times New Roman"/>
          <w:lang w:val="ru-RU"/>
        </w:rPr>
        <w:t>3. Себестоимость услуг хранения нефтепродуктов прочих поклажедателей и АК «АЛРОСА» превышает сумму необходимых расходов для производства и реализации услуг, в том числе за счет отнесения расходов, включенных в сумму необходимой прибыли, за хранение местного топлива, нефтепродуктов страхового запаса и «госнужд».</w:t>
      </w:r>
    </w:p>
    <w:p w:rsidR="00E0567D" w:rsidRDefault="00E0567D" w:rsidP="00E0567D">
      <w:pPr>
        <w:pStyle w:val="af"/>
        <w:ind w:firstLine="709"/>
        <w:contextualSpacing/>
        <w:jc w:val="both"/>
        <w:rPr>
          <w:rFonts w:cs="Times New Roman"/>
          <w:lang w:val="ru-RU"/>
        </w:rPr>
      </w:pPr>
    </w:p>
    <w:p w:rsidR="00E0567D" w:rsidRPr="00331DC2" w:rsidRDefault="00E0567D" w:rsidP="00E0567D">
      <w:pPr>
        <w:pStyle w:val="af"/>
        <w:ind w:firstLine="709"/>
        <w:contextualSpacing/>
        <w:jc w:val="both"/>
        <w:rPr>
          <w:rFonts w:cs="Times New Roman"/>
          <w:lang w:val="ru-RU"/>
        </w:rPr>
      </w:pPr>
      <w:r w:rsidRPr="00331DC2">
        <w:rPr>
          <w:rFonts w:cs="Times New Roman"/>
          <w:lang w:val="ru-RU"/>
        </w:rPr>
        <w:t>На основании вышеизложенного, Комиссия приходит к выводу о нарушении ОАО «Саханефтегазсбыт» пункта 1 части 1 статьи 10 Федерального закона «О защите конкуренции» посредством установления монопольно высокой цены на услуги хранения нефтепродуктов для прочих поклажедателей и АК «АЛРОСА» в размере 8,29 руб. и на приемо-складские операции для нефтепродуктов (кроме местного топлива) 774,89 руб.</w:t>
      </w:r>
    </w:p>
    <w:p w:rsidR="00E0567D" w:rsidRDefault="00E0567D" w:rsidP="00E0567D">
      <w:pPr>
        <w:autoSpaceDE w:val="0"/>
        <w:autoSpaceDN w:val="0"/>
        <w:adjustRightInd w:val="0"/>
        <w:spacing w:line="240" w:lineRule="auto"/>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Таким образом, ОАО «Саханефтегазсбыт» - хозяйствующим субъектом, занимающим доминирующее положение на рынке услуг хранения и складирования нефти и продуктов ее переработки на территории Республики Саха (Якутия),  в нарушение положений пункта 1 части 1 статьи 10 Федерального закона от 26.07.2006 № 135-ФЗ «О защите конкуренции» допущено установление монопольно высокой цены на услуги хранения нефтепродуктов для прочих поклажедателей и АК «АЛРОСА» в размере 8,29 руб. и на приемо-складские операции для нефтепродуктов (кроме местного топлива) 774,89 руб. путем превышения необходимых расходов и прибыли</w:t>
      </w:r>
      <w:r w:rsidRPr="00331DC2">
        <w:rPr>
          <w:rFonts w:ascii="Times New Roman" w:eastAsia="Times New Roman" w:hAnsi="Times New Roman" w:cs="Times New Roman"/>
          <w:sz w:val="24"/>
          <w:szCs w:val="24"/>
          <w:lang w:eastAsia="ru-RU"/>
        </w:rPr>
        <w:t xml:space="preserve"> для производства и реализации данных видов услуг</w:t>
      </w:r>
      <w:r w:rsidRPr="00331DC2">
        <w:rPr>
          <w:rFonts w:ascii="Times New Roman" w:hAnsi="Times New Roman" w:cs="Times New Roman"/>
          <w:sz w:val="24"/>
          <w:szCs w:val="24"/>
        </w:rPr>
        <w:t>.</w:t>
      </w:r>
    </w:p>
    <w:p w:rsidR="00E0567D" w:rsidRDefault="00E0567D" w:rsidP="00E0567D">
      <w:pPr>
        <w:autoSpaceDE w:val="0"/>
        <w:autoSpaceDN w:val="0"/>
        <w:adjustRightInd w:val="0"/>
        <w:spacing w:line="240" w:lineRule="auto"/>
        <w:ind w:firstLine="567"/>
        <w:contextualSpacing/>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На основании изложенного, Комиссия по рассмотрению дела №02-78/12А от 10 июля 2012 г. решила: </w:t>
      </w:r>
    </w:p>
    <w:p w:rsidR="00E0567D" w:rsidRPr="00331DC2" w:rsidRDefault="00E0567D" w:rsidP="00E0567D">
      <w:pPr>
        <w:autoSpaceDE w:val="0"/>
        <w:autoSpaceDN w:val="0"/>
        <w:adjustRightInd w:val="0"/>
        <w:spacing w:line="240" w:lineRule="auto"/>
        <w:ind w:firstLine="567"/>
        <w:contextualSpacing/>
        <w:jc w:val="both"/>
        <w:outlineLvl w:val="1"/>
        <w:rPr>
          <w:rFonts w:ascii="Times New Roman" w:hAnsi="Times New Roman" w:cs="Times New Roman"/>
          <w:sz w:val="24"/>
          <w:szCs w:val="24"/>
        </w:rPr>
      </w:pPr>
      <w:r w:rsidRPr="00331DC2">
        <w:rPr>
          <w:rFonts w:ascii="Times New Roman" w:hAnsi="Times New Roman" w:cs="Times New Roman"/>
          <w:sz w:val="24"/>
          <w:szCs w:val="24"/>
        </w:rPr>
        <w:t>1. Признать Открытое акционерное общество «Саханефтегазсбыт»  нарушившим пункт 1 части 1 статьи 10 ФЗ «О защите конкуренции» путем установления  приказами  ОАО «Саханефтегазсбыт» от 29.12.2010 г. № 616, 617, 617а и от 26.01.2011 №26 монопольно высокой цены на услуги хранения нефтепродуктов для прочих поклажедателей и АК «АЛРОСА» в размере 8,29 руб. и на приемо-складские операции для нефтепродуктов (кроме местного топлива) 774,89 руб., превышающих необходимые расходы и прибыль</w:t>
      </w:r>
      <w:r w:rsidRPr="00331DC2">
        <w:rPr>
          <w:rFonts w:ascii="Times New Roman" w:eastAsia="Times New Roman" w:hAnsi="Times New Roman" w:cs="Times New Roman"/>
          <w:sz w:val="24"/>
          <w:szCs w:val="24"/>
          <w:lang w:eastAsia="ru-RU"/>
        </w:rPr>
        <w:t xml:space="preserve"> для производства и реализации данных видов услуг</w:t>
      </w:r>
      <w:r w:rsidRPr="00331DC2">
        <w:rPr>
          <w:rFonts w:ascii="Times New Roman" w:hAnsi="Times New Roman" w:cs="Times New Roman"/>
          <w:sz w:val="24"/>
          <w:szCs w:val="24"/>
        </w:rPr>
        <w:t xml:space="preserve"> в географических границах Республики Саха (Якутия).</w:t>
      </w:r>
    </w:p>
    <w:p w:rsidR="00E0567D" w:rsidRPr="00B93D2E" w:rsidRDefault="00E0567D" w:rsidP="00E0567D">
      <w:pPr>
        <w:tabs>
          <w:tab w:val="left" w:pos="993"/>
        </w:tabs>
        <w:autoSpaceDE w:val="0"/>
        <w:autoSpaceDN w:val="0"/>
        <w:spacing w:line="240" w:lineRule="auto"/>
        <w:ind w:firstLine="567"/>
        <w:contextualSpacing/>
        <w:jc w:val="both"/>
        <w:rPr>
          <w:rFonts w:ascii="Times New Roman" w:hAnsi="Times New Roman" w:cs="Times New Roman"/>
          <w:sz w:val="24"/>
          <w:szCs w:val="24"/>
        </w:rPr>
      </w:pPr>
      <w:r w:rsidRPr="00331DC2">
        <w:rPr>
          <w:rFonts w:ascii="Times New Roman" w:hAnsi="Times New Roman" w:cs="Times New Roman"/>
          <w:sz w:val="24"/>
          <w:szCs w:val="24"/>
        </w:rPr>
        <w:t xml:space="preserve">2. В целях прекращения нарушений антимонопольного законодательства и недопущения их в последующем, выдать Открытому акционерному обществу «Саханефтегазсбыт» предписание о принятии мер по обеспечению конкуренции и </w:t>
      </w:r>
      <w:r w:rsidRPr="00B93D2E">
        <w:rPr>
          <w:rFonts w:ascii="Times New Roman" w:hAnsi="Times New Roman" w:cs="Times New Roman"/>
          <w:sz w:val="24"/>
          <w:szCs w:val="24"/>
        </w:rPr>
        <w:t>прекращению установления монопольно высокой цены на услуги хранения нефтепродуктов и на приемо-складские операции путем превышения необходимых расходов и прибыли</w:t>
      </w:r>
      <w:r w:rsidRPr="00B93D2E">
        <w:rPr>
          <w:rFonts w:ascii="Times New Roman" w:eastAsia="Times New Roman" w:hAnsi="Times New Roman" w:cs="Times New Roman"/>
          <w:sz w:val="24"/>
          <w:szCs w:val="24"/>
          <w:lang w:eastAsia="ru-RU"/>
        </w:rPr>
        <w:t xml:space="preserve"> для производства и реализации данных видов услуг</w:t>
      </w:r>
      <w:r w:rsidRPr="00B93D2E">
        <w:rPr>
          <w:rFonts w:ascii="Times New Roman" w:hAnsi="Times New Roman" w:cs="Times New Roman"/>
          <w:sz w:val="24"/>
          <w:szCs w:val="24"/>
        </w:rPr>
        <w:t xml:space="preserve"> в географических границах Республики Саха (Якутия).</w:t>
      </w:r>
    </w:p>
    <w:p w:rsidR="00E0567D" w:rsidRDefault="00E0567D" w:rsidP="00E0567D">
      <w:pPr>
        <w:tabs>
          <w:tab w:val="left" w:pos="993"/>
        </w:tabs>
        <w:autoSpaceDE w:val="0"/>
        <w:autoSpaceDN w:val="0"/>
        <w:spacing w:line="240" w:lineRule="auto"/>
        <w:ind w:firstLine="567"/>
        <w:contextualSpacing/>
        <w:jc w:val="both"/>
        <w:rPr>
          <w:rFonts w:ascii="Times New Roman" w:hAnsi="Times New Roman" w:cs="Times New Roman"/>
          <w:sz w:val="24"/>
          <w:szCs w:val="24"/>
        </w:rPr>
      </w:pPr>
      <w:r w:rsidRPr="00B93D2E">
        <w:rPr>
          <w:rFonts w:ascii="Times New Roman" w:hAnsi="Times New Roman" w:cs="Times New Roman"/>
          <w:sz w:val="24"/>
          <w:szCs w:val="24"/>
        </w:rPr>
        <w:t xml:space="preserve">Согласно части 1 статьи 37 Федерального закона «О защите конкуренции» за нарушение антимонопольного законодательства коммерческие организации несут ответственность, предусмотренную законодательством. </w:t>
      </w:r>
    </w:p>
    <w:p w:rsidR="00E0567D" w:rsidRDefault="00E0567D" w:rsidP="00E0567D">
      <w:pPr>
        <w:tabs>
          <w:tab w:val="left" w:pos="993"/>
        </w:tabs>
        <w:autoSpaceDE w:val="0"/>
        <w:autoSpaceDN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ОАО «Саханефтегазсбыт» нарушив пункт 1 части 1 статьи 10 Закона «О защите конкуренции», </w:t>
      </w:r>
      <w:r w:rsidRPr="00331DC2">
        <w:rPr>
          <w:rFonts w:ascii="Times New Roman" w:hAnsi="Times New Roman" w:cs="Times New Roman"/>
          <w:sz w:val="24"/>
          <w:szCs w:val="24"/>
        </w:rPr>
        <w:t>путем установления  приказами  ОАО «Саханефтегазсбыт» от 29.12.2010 г. № 616, 617, 617а и от 26.01.2011 №26 монопольно высокой цены на услуги хранения нефтепродуктов для прочих поклажедателей и АК «АЛРОСА» в размере 8,29 руб. и на приемо-складские операции для нефтепродуктов (кроме местного топлива) 774,89 руб.</w:t>
      </w:r>
      <w:r>
        <w:rPr>
          <w:rFonts w:ascii="Times New Roman" w:hAnsi="Times New Roman" w:cs="Times New Roman"/>
          <w:sz w:val="24"/>
          <w:szCs w:val="24"/>
        </w:rPr>
        <w:t>, совершило административное правонарушение предусмотренное ч.1 ст. 14.31 Кодекса РФ об административных правонарушениях.</w:t>
      </w:r>
    </w:p>
    <w:p w:rsidR="00E0567D" w:rsidRPr="00B93D2E" w:rsidRDefault="00E0567D" w:rsidP="00E0567D">
      <w:pPr>
        <w:tabs>
          <w:tab w:val="left" w:pos="993"/>
        </w:tabs>
        <w:autoSpaceDE w:val="0"/>
        <w:autoSpaceDN w:val="0"/>
        <w:spacing w:after="0" w:line="240" w:lineRule="auto"/>
        <w:ind w:firstLine="567"/>
        <w:contextualSpacing/>
        <w:jc w:val="both"/>
        <w:rPr>
          <w:rFonts w:ascii="Times New Roman" w:hAnsi="Times New Roman" w:cs="Times New Roman"/>
          <w:sz w:val="24"/>
          <w:szCs w:val="24"/>
        </w:rPr>
      </w:pPr>
      <w:r w:rsidRPr="00B93D2E">
        <w:rPr>
          <w:rFonts w:ascii="Times New Roman" w:hAnsi="Times New Roman" w:cs="Times New Roman"/>
          <w:sz w:val="24"/>
          <w:szCs w:val="24"/>
        </w:rPr>
        <w:t>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 (ч.1 ст. 2.1 КоАП РФ).</w:t>
      </w:r>
    </w:p>
    <w:p w:rsidR="00E0567D" w:rsidRPr="005B0699" w:rsidRDefault="00E0567D" w:rsidP="00E0567D">
      <w:pPr>
        <w:pStyle w:val="ad"/>
        <w:ind w:left="0"/>
      </w:pPr>
      <w:r w:rsidRPr="00B93D2E">
        <w:t>В соответствии с ч.2 ст. 2.1 КоАП РФ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w:t>
      </w:r>
      <w:r w:rsidRPr="005B0699">
        <w:t xml:space="preserve"> Федерации предусмотрена административная ответственность, но данным лицом не были приняты все зависящие от него меры по их соблюдению.</w:t>
      </w:r>
    </w:p>
    <w:p w:rsidR="00E0567D" w:rsidRPr="005B0699" w:rsidRDefault="00E0567D" w:rsidP="00E0567D">
      <w:pPr>
        <w:spacing w:after="0" w:line="240" w:lineRule="auto"/>
        <w:ind w:firstLine="708"/>
        <w:contextualSpacing/>
        <w:jc w:val="both"/>
        <w:rPr>
          <w:rFonts w:ascii="Times New Roman" w:hAnsi="Times New Roman" w:cs="Times New Roman"/>
          <w:sz w:val="24"/>
          <w:szCs w:val="24"/>
        </w:rPr>
      </w:pPr>
      <w:r w:rsidRPr="005B0699">
        <w:rPr>
          <w:rFonts w:ascii="Times New Roman" w:hAnsi="Times New Roman" w:cs="Times New Roman"/>
          <w:sz w:val="24"/>
          <w:szCs w:val="24"/>
        </w:rPr>
        <w:t>Материалами дела №02-</w:t>
      </w:r>
      <w:r>
        <w:rPr>
          <w:rFonts w:ascii="Times New Roman" w:hAnsi="Times New Roman" w:cs="Times New Roman"/>
          <w:sz w:val="24"/>
          <w:szCs w:val="24"/>
        </w:rPr>
        <w:t>78</w:t>
      </w:r>
      <w:r w:rsidRPr="005B0699">
        <w:rPr>
          <w:rFonts w:ascii="Times New Roman" w:hAnsi="Times New Roman" w:cs="Times New Roman"/>
          <w:sz w:val="24"/>
          <w:szCs w:val="24"/>
        </w:rPr>
        <w:t>/1</w:t>
      </w:r>
      <w:r>
        <w:rPr>
          <w:rFonts w:ascii="Times New Roman" w:hAnsi="Times New Roman" w:cs="Times New Roman"/>
          <w:sz w:val="24"/>
          <w:szCs w:val="24"/>
        </w:rPr>
        <w:t>2</w:t>
      </w:r>
      <w:r w:rsidRPr="005B0699">
        <w:rPr>
          <w:rFonts w:ascii="Times New Roman" w:hAnsi="Times New Roman" w:cs="Times New Roman"/>
          <w:sz w:val="24"/>
          <w:szCs w:val="24"/>
        </w:rPr>
        <w:t>А</w:t>
      </w:r>
      <w:r>
        <w:rPr>
          <w:rFonts w:ascii="Times New Roman" w:hAnsi="Times New Roman" w:cs="Times New Roman"/>
          <w:sz w:val="24"/>
          <w:szCs w:val="24"/>
        </w:rPr>
        <w:t xml:space="preserve"> от 10.07.2012г. </w:t>
      </w:r>
      <w:r w:rsidRPr="005B0699">
        <w:rPr>
          <w:rFonts w:ascii="Times New Roman" w:hAnsi="Times New Roman" w:cs="Times New Roman"/>
          <w:sz w:val="24"/>
          <w:szCs w:val="24"/>
        </w:rPr>
        <w:t xml:space="preserve">о нарушении антимонопольного законодательства </w:t>
      </w:r>
      <w:r>
        <w:rPr>
          <w:rFonts w:ascii="Times New Roman" w:hAnsi="Times New Roman" w:cs="Times New Roman"/>
          <w:sz w:val="24"/>
          <w:szCs w:val="24"/>
        </w:rPr>
        <w:t>установлено</w:t>
      </w:r>
      <w:r w:rsidRPr="005B0699">
        <w:rPr>
          <w:rFonts w:ascii="Times New Roman" w:hAnsi="Times New Roman" w:cs="Times New Roman"/>
          <w:sz w:val="24"/>
          <w:szCs w:val="24"/>
        </w:rPr>
        <w:t xml:space="preserve">, что у ОАО «Саханефтегазсбыт» имелись все условия </w:t>
      </w:r>
      <w:r>
        <w:rPr>
          <w:rFonts w:ascii="Times New Roman" w:hAnsi="Times New Roman" w:cs="Times New Roman"/>
          <w:sz w:val="24"/>
          <w:szCs w:val="24"/>
        </w:rPr>
        <w:t>для</w:t>
      </w:r>
      <w:r w:rsidRPr="005B0699">
        <w:rPr>
          <w:rFonts w:ascii="Times New Roman" w:hAnsi="Times New Roman" w:cs="Times New Roman"/>
          <w:sz w:val="24"/>
          <w:szCs w:val="24"/>
        </w:rPr>
        <w:t xml:space="preserve"> соблюдени</w:t>
      </w:r>
      <w:r>
        <w:rPr>
          <w:rFonts w:ascii="Times New Roman" w:hAnsi="Times New Roman" w:cs="Times New Roman"/>
          <w:sz w:val="24"/>
          <w:szCs w:val="24"/>
        </w:rPr>
        <w:t>я</w:t>
      </w:r>
      <w:r w:rsidRPr="005B0699">
        <w:rPr>
          <w:rFonts w:ascii="Times New Roman" w:hAnsi="Times New Roman" w:cs="Times New Roman"/>
          <w:sz w:val="24"/>
          <w:szCs w:val="24"/>
        </w:rPr>
        <w:t xml:space="preserve"> требований </w:t>
      </w:r>
      <w:r>
        <w:rPr>
          <w:rFonts w:ascii="Times New Roman" w:hAnsi="Times New Roman" w:cs="Times New Roman"/>
          <w:sz w:val="24"/>
          <w:szCs w:val="24"/>
        </w:rPr>
        <w:t xml:space="preserve">антимонопольного </w:t>
      </w:r>
      <w:r w:rsidRPr="005B0699">
        <w:rPr>
          <w:rFonts w:ascii="Times New Roman" w:hAnsi="Times New Roman" w:cs="Times New Roman"/>
          <w:sz w:val="24"/>
          <w:szCs w:val="24"/>
        </w:rPr>
        <w:t xml:space="preserve">законодательства, но общество не желало принять меры к их исполнению.   </w:t>
      </w:r>
    </w:p>
    <w:p w:rsidR="008D40AC" w:rsidRDefault="00E0567D" w:rsidP="008D40AC">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5B0699">
        <w:rPr>
          <w:rFonts w:ascii="Times New Roman" w:hAnsi="Times New Roman" w:cs="Times New Roman"/>
          <w:sz w:val="24"/>
          <w:szCs w:val="24"/>
        </w:rPr>
        <w:t xml:space="preserve">  Согласно ч. 1 статья 1.7. Кодекса РФ об административных правонарушениях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E0567D" w:rsidRPr="008D40AC" w:rsidRDefault="00E0567D" w:rsidP="008D40AC">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8D40AC">
        <w:rPr>
          <w:rFonts w:ascii="Times New Roman" w:hAnsi="Times New Roman" w:cs="Times New Roman"/>
          <w:sz w:val="24"/>
          <w:szCs w:val="24"/>
        </w:rPr>
        <w:t>Во время совершения административного правонарушения, которое выразилось в  установлении приказами ОАО «Саханефтегазсбыт» от 29.12.2010 г. №616,617,617а и от 26.01.2011 №26 монопольно высокой цены на услуги хранения нефтепродуктов для прочих поклажедателей и АК «АЛРОСА» в размере 8,29 руб. и на приемо-складские операции для нефтепродуктов (кроме местного топлива) 774,89 руб. путем превышения необходимых расходов и прибыли</w:t>
      </w:r>
      <w:r w:rsidRPr="008D40AC">
        <w:rPr>
          <w:rFonts w:ascii="Times New Roman" w:eastAsia="Times New Roman" w:hAnsi="Times New Roman" w:cs="Times New Roman"/>
          <w:sz w:val="24"/>
          <w:szCs w:val="24"/>
          <w:lang w:eastAsia="ru-RU"/>
        </w:rPr>
        <w:t xml:space="preserve"> для производства и реализации данных видов услуг </w:t>
      </w:r>
      <w:r w:rsidRPr="008D40AC">
        <w:rPr>
          <w:rFonts w:ascii="Times New Roman" w:hAnsi="Times New Roman" w:cs="Times New Roman"/>
          <w:sz w:val="24"/>
          <w:szCs w:val="24"/>
        </w:rPr>
        <w:lastRenderedPageBreak/>
        <w:t xml:space="preserve">действовала ст. 14.31  Кодекса РФ об административных правонарушениях в редакции  Федерального </w:t>
      </w:r>
      <w:hyperlink r:id="rId8" w:history="1">
        <w:r w:rsidRPr="008D40AC">
          <w:rPr>
            <w:rFonts w:ascii="Times New Roman" w:hAnsi="Times New Roman" w:cs="Times New Roman"/>
            <w:color w:val="0000FF"/>
            <w:sz w:val="24"/>
            <w:szCs w:val="24"/>
          </w:rPr>
          <w:t>закона</w:t>
        </w:r>
      </w:hyperlink>
      <w:r w:rsidRPr="008D40AC">
        <w:rPr>
          <w:rFonts w:ascii="Times New Roman" w:hAnsi="Times New Roman" w:cs="Times New Roman"/>
          <w:sz w:val="24"/>
          <w:szCs w:val="24"/>
        </w:rPr>
        <w:t xml:space="preserve"> от 17.07.2009 N 160-ФЗ:</w:t>
      </w:r>
    </w:p>
    <w:p w:rsidR="00E0567D" w:rsidRPr="005B0699" w:rsidRDefault="00E0567D" w:rsidP="00E0567D">
      <w:pPr>
        <w:adjustRightInd w:val="0"/>
        <w:spacing w:line="240" w:lineRule="auto"/>
        <w:ind w:firstLine="540"/>
        <w:contextualSpacing/>
        <w:jc w:val="both"/>
        <w:rPr>
          <w:rFonts w:ascii="Times New Roman" w:hAnsi="Times New Roman" w:cs="Times New Roman"/>
          <w:sz w:val="24"/>
          <w:szCs w:val="24"/>
        </w:rPr>
      </w:pPr>
      <w:r w:rsidRPr="005B0699">
        <w:rPr>
          <w:rFonts w:ascii="Times New Roman" w:hAnsi="Times New Roman" w:cs="Times New Roman"/>
          <w:sz w:val="24"/>
          <w:szCs w:val="24"/>
        </w:rPr>
        <w:t xml:space="preserve">Совершение занимающим </w:t>
      </w:r>
      <w:hyperlink r:id="rId9" w:history="1">
        <w:r w:rsidRPr="005B0699">
          <w:rPr>
            <w:rFonts w:ascii="Times New Roman" w:hAnsi="Times New Roman" w:cs="Times New Roman"/>
            <w:color w:val="0000FF"/>
            <w:sz w:val="24"/>
            <w:szCs w:val="24"/>
          </w:rPr>
          <w:t>доминирующее положение</w:t>
        </w:r>
      </w:hyperlink>
      <w:r w:rsidRPr="005B0699">
        <w:rPr>
          <w:rFonts w:ascii="Times New Roman" w:hAnsi="Times New Roman" w:cs="Times New Roman"/>
          <w:sz w:val="24"/>
          <w:szCs w:val="24"/>
        </w:rPr>
        <w:t xml:space="preserve">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w:t>
      </w:r>
      <w:hyperlink r:id="rId10" w:history="1">
        <w:r w:rsidRPr="005B0699">
          <w:rPr>
            <w:rFonts w:ascii="Times New Roman" w:hAnsi="Times New Roman" w:cs="Times New Roman"/>
            <w:color w:val="0000FF"/>
            <w:sz w:val="24"/>
            <w:szCs w:val="24"/>
          </w:rPr>
          <w:t>законодательством</w:t>
        </w:r>
      </w:hyperlink>
      <w:r w:rsidRPr="005B0699">
        <w:rPr>
          <w:rFonts w:ascii="Times New Roman" w:hAnsi="Times New Roman" w:cs="Times New Roman"/>
          <w:sz w:val="24"/>
          <w:szCs w:val="24"/>
        </w:rPr>
        <w:t xml:space="preserve"> Российской Федерации, за исключением случаев, предусмотренных </w:t>
      </w:r>
      <w:hyperlink r:id="rId11" w:history="1">
        <w:r w:rsidRPr="005B0699">
          <w:rPr>
            <w:rFonts w:ascii="Times New Roman" w:hAnsi="Times New Roman" w:cs="Times New Roman"/>
            <w:color w:val="0000FF"/>
            <w:sz w:val="24"/>
            <w:szCs w:val="24"/>
          </w:rPr>
          <w:t>статьей 14.31.1</w:t>
        </w:r>
      </w:hyperlink>
      <w:r w:rsidRPr="005B0699">
        <w:rPr>
          <w:rFonts w:ascii="Times New Roman" w:hAnsi="Times New Roman" w:cs="Times New Roman"/>
          <w:sz w:val="24"/>
          <w:szCs w:val="24"/>
        </w:rPr>
        <w:t xml:space="preserve"> настоящего Кодекса, -</w:t>
      </w:r>
    </w:p>
    <w:p w:rsidR="00E0567D" w:rsidRPr="005B0699" w:rsidRDefault="00E0567D" w:rsidP="00E0567D">
      <w:pPr>
        <w:adjustRightInd w:val="0"/>
        <w:spacing w:line="240" w:lineRule="auto"/>
        <w:ind w:firstLine="540"/>
        <w:contextualSpacing/>
        <w:jc w:val="both"/>
        <w:rPr>
          <w:rFonts w:ascii="Times New Roman" w:hAnsi="Times New Roman" w:cs="Times New Roman"/>
          <w:sz w:val="24"/>
          <w:szCs w:val="24"/>
        </w:rPr>
      </w:pPr>
      <w:r w:rsidRPr="005B0699">
        <w:rPr>
          <w:rFonts w:ascii="Times New Roman" w:hAnsi="Times New Roman" w:cs="Times New Roman"/>
          <w:sz w:val="24"/>
          <w:szCs w:val="24"/>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E0567D" w:rsidRPr="005B0699" w:rsidRDefault="00E0567D" w:rsidP="00E0567D">
      <w:pPr>
        <w:adjustRightInd w:val="0"/>
        <w:spacing w:line="240" w:lineRule="auto"/>
        <w:ind w:firstLine="540"/>
        <w:contextualSpacing/>
        <w:jc w:val="both"/>
        <w:rPr>
          <w:rFonts w:ascii="Times New Roman" w:hAnsi="Times New Roman" w:cs="Times New Roman"/>
          <w:sz w:val="24"/>
          <w:szCs w:val="24"/>
        </w:rPr>
      </w:pPr>
      <w:r w:rsidRPr="005B0699">
        <w:rPr>
          <w:rFonts w:ascii="Times New Roman" w:hAnsi="Times New Roman" w:cs="Times New Roman"/>
          <w:sz w:val="24"/>
          <w:szCs w:val="24"/>
        </w:rPr>
        <w:t>На момент составления протокола об административном правонарушении действует статья 14.31 Кодекса РФ об административных правонарушениях, которая является двусоставной</w:t>
      </w:r>
      <w:r>
        <w:rPr>
          <w:rFonts w:ascii="Times New Roman" w:hAnsi="Times New Roman" w:cs="Times New Roman"/>
          <w:sz w:val="24"/>
          <w:szCs w:val="24"/>
        </w:rPr>
        <w:t>:</w:t>
      </w:r>
    </w:p>
    <w:p w:rsidR="00E0567D" w:rsidRPr="006219CA" w:rsidRDefault="00E0567D" w:rsidP="00E0567D">
      <w:pPr>
        <w:adjustRightInd w:val="0"/>
        <w:spacing w:line="240" w:lineRule="auto"/>
        <w:ind w:firstLine="540"/>
        <w:contextualSpacing/>
        <w:jc w:val="both"/>
        <w:rPr>
          <w:rFonts w:ascii="Times New Roman" w:hAnsi="Times New Roman" w:cs="Times New Roman"/>
          <w:sz w:val="24"/>
          <w:szCs w:val="24"/>
        </w:rPr>
      </w:pPr>
      <w:r w:rsidRPr="006219CA">
        <w:rPr>
          <w:rFonts w:ascii="Times New Roman" w:hAnsi="Times New Roman" w:cs="Times New Roman"/>
          <w:sz w:val="24"/>
          <w:szCs w:val="24"/>
        </w:rP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12" w:history="1">
        <w:r w:rsidRPr="006219CA">
          <w:rPr>
            <w:rFonts w:ascii="Times New Roman" w:hAnsi="Times New Roman" w:cs="Times New Roman"/>
            <w:color w:val="0000FF"/>
            <w:sz w:val="24"/>
            <w:szCs w:val="24"/>
          </w:rPr>
          <w:t>законодательством</w:t>
        </w:r>
      </w:hyperlink>
      <w:r w:rsidRPr="006219CA">
        <w:rPr>
          <w:rFonts w:ascii="Times New Roman" w:hAnsi="Times New Roman" w:cs="Times New Roman"/>
          <w:sz w:val="24"/>
          <w:szCs w:val="24"/>
        </w:rP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r:id="rId13" w:history="1">
        <w:r w:rsidRPr="006219CA">
          <w:rPr>
            <w:rFonts w:ascii="Times New Roman" w:hAnsi="Times New Roman" w:cs="Times New Roman"/>
            <w:color w:val="0000FF"/>
            <w:sz w:val="24"/>
            <w:szCs w:val="24"/>
          </w:rPr>
          <w:t>статьей 14.31.1</w:t>
        </w:r>
      </w:hyperlink>
      <w:r w:rsidRPr="006219CA">
        <w:rPr>
          <w:rFonts w:ascii="Times New Roman" w:hAnsi="Times New Roman" w:cs="Times New Roman"/>
          <w:sz w:val="24"/>
          <w:szCs w:val="24"/>
        </w:rPr>
        <w:t xml:space="preserve"> настоящего Кодекса, - </w:t>
      </w:r>
    </w:p>
    <w:p w:rsidR="00E0567D" w:rsidRPr="006219CA" w:rsidRDefault="00E0567D" w:rsidP="00E0567D">
      <w:pPr>
        <w:adjustRightInd w:val="0"/>
        <w:spacing w:line="240" w:lineRule="auto"/>
        <w:ind w:firstLine="540"/>
        <w:contextualSpacing/>
        <w:jc w:val="both"/>
        <w:rPr>
          <w:rFonts w:ascii="Times New Roman" w:hAnsi="Times New Roman" w:cs="Times New Roman"/>
          <w:sz w:val="24"/>
          <w:szCs w:val="24"/>
        </w:rPr>
      </w:pPr>
      <w:r w:rsidRPr="006219CA">
        <w:rPr>
          <w:rFonts w:ascii="Times New Roman" w:hAnsi="Times New Roman" w:cs="Times New Roman"/>
          <w:sz w:val="24"/>
          <w:szCs w:val="24"/>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E0567D" w:rsidRPr="006219CA" w:rsidRDefault="00E0567D" w:rsidP="00E0567D">
      <w:pPr>
        <w:adjustRightInd w:val="0"/>
        <w:spacing w:line="240" w:lineRule="auto"/>
        <w:ind w:firstLine="540"/>
        <w:contextualSpacing/>
        <w:jc w:val="both"/>
        <w:rPr>
          <w:rFonts w:ascii="Times New Roman" w:hAnsi="Times New Roman" w:cs="Times New Roman"/>
          <w:sz w:val="24"/>
          <w:szCs w:val="24"/>
        </w:rPr>
      </w:pPr>
      <w:r w:rsidRPr="006219CA">
        <w:rPr>
          <w:rFonts w:ascii="Times New Roman" w:hAnsi="Times New Roman" w:cs="Times New Roman"/>
          <w:sz w:val="24"/>
          <w:szCs w:val="24"/>
        </w:rP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за исключением случаев, предусмотренных </w:t>
      </w:r>
      <w:hyperlink r:id="rId14" w:history="1">
        <w:r w:rsidRPr="006219CA">
          <w:rPr>
            <w:rFonts w:ascii="Times New Roman" w:hAnsi="Times New Roman" w:cs="Times New Roman"/>
            <w:color w:val="0000FF"/>
            <w:sz w:val="24"/>
            <w:szCs w:val="24"/>
          </w:rPr>
          <w:t>статьей 14.31.1</w:t>
        </w:r>
      </w:hyperlink>
      <w:r w:rsidRPr="006219CA">
        <w:rPr>
          <w:rFonts w:ascii="Times New Roman" w:hAnsi="Times New Roman" w:cs="Times New Roman"/>
          <w:sz w:val="24"/>
          <w:szCs w:val="24"/>
        </w:rPr>
        <w:t xml:space="preserve"> настоящего Кодекса,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p>
    <w:p w:rsidR="00E0567D" w:rsidRPr="006219CA" w:rsidRDefault="00E0567D" w:rsidP="00E0567D">
      <w:pPr>
        <w:adjustRightInd w:val="0"/>
        <w:spacing w:line="240" w:lineRule="auto"/>
        <w:ind w:firstLine="540"/>
        <w:contextualSpacing/>
        <w:jc w:val="both"/>
        <w:rPr>
          <w:rFonts w:ascii="Times New Roman" w:hAnsi="Times New Roman" w:cs="Times New Roman"/>
          <w:sz w:val="24"/>
          <w:szCs w:val="24"/>
        </w:rPr>
      </w:pPr>
      <w:r w:rsidRPr="006219CA">
        <w:rPr>
          <w:rFonts w:ascii="Times New Roman" w:hAnsi="Times New Roman" w:cs="Times New Roman"/>
          <w:sz w:val="24"/>
          <w:szCs w:val="24"/>
        </w:rPr>
        <w:t xml:space="preserve">влечет наложение административного штрафа на должностных лиц в размере от двадцати тысяч до пятидесяти тысяч рублей либо </w:t>
      </w:r>
      <w:hyperlink r:id="rId15" w:history="1">
        <w:r w:rsidRPr="006219CA">
          <w:rPr>
            <w:rFonts w:ascii="Times New Roman" w:hAnsi="Times New Roman" w:cs="Times New Roman"/>
            <w:color w:val="0000FF"/>
            <w:sz w:val="24"/>
            <w:szCs w:val="24"/>
          </w:rPr>
          <w:t>дисквалификацию</w:t>
        </w:r>
      </w:hyperlink>
      <w:r w:rsidRPr="006219CA">
        <w:rPr>
          <w:rFonts w:ascii="Times New Roman" w:hAnsi="Times New Roman" w:cs="Times New Roman"/>
          <w:sz w:val="24"/>
          <w:szCs w:val="24"/>
        </w:rPr>
        <w:t xml:space="preserve">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w:t>
      </w:r>
      <w:r w:rsidRPr="006219CA">
        <w:rPr>
          <w:rFonts w:ascii="Times New Roman" w:hAnsi="Times New Roman" w:cs="Times New Roman"/>
          <w:sz w:val="24"/>
          <w:szCs w:val="24"/>
        </w:rPr>
        <w:lastRenderedPageBreak/>
        <w:t>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E0567D" w:rsidRPr="006219CA" w:rsidRDefault="00E0567D" w:rsidP="00E0567D">
      <w:pPr>
        <w:adjustRightInd w:val="0"/>
        <w:spacing w:line="240" w:lineRule="auto"/>
        <w:ind w:firstLine="540"/>
        <w:contextualSpacing/>
        <w:jc w:val="both"/>
        <w:rPr>
          <w:rFonts w:ascii="Times New Roman" w:hAnsi="Times New Roman" w:cs="Times New Roman"/>
          <w:sz w:val="24"/>
          <w:szCs w:val="24"/>
        </w:rPr>
      </w:pPr>
      <w:r w:rsidRPr="006219CA">
        <w:rPr>
          <w:rFonts w:ascii="Times New Roman" w:hAnsi="Times New Roman" w:cs="Times New Roman"/>
          <w:sz w:val="24"/>
          <w:szCs w:val="24"/>
        </w:rPr>
        <w:t>Согласно части 2 статьи 1.7 Кодекса РФ об административных правонарушениях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E0567D" w:rsidRDefault="00E0567D" w:rsidP="00E0567D">
      <w:pPr>
        <w:adjustRightInd w:val="0"/>
        <w:spacing w:line="240" w:lineRule="auto"/>
        <w:ind w:firstLine="540"/>
        <w:contextualSpacing/>
        <w:jc w:val="both"/>
        <w:rPr>
          <w:rFonts w:ascii="Times New Roman" w:hAnsi="Times New Roman" w:cs="Times New Roman"/>
          <w:sz w:val="24"/>
          <w:szCs w:val="24"/>
        </w:rPr>
      </w:pPr>
      <w:r>
        <w:rPr>
          <w:rFonts w:ascii="Times New Roman" w:hAnsi="Times New Roman" w:cs="Times New Roman"/>
          <w:sz w:val="24"/>
        </w:rPr>
        <w:t>Д</w:t>
      </w:r>
      <w:r w:rsidRPr="006219CA">
        <w:rPr>
          <w:rFonts w:ascii="Times New Roman" w:hAnsi="Times New Roman" w:cs="Times New Roman"/>
          <w:sz w:val="24"/>
        </w:rPr>
        <w:t>ействия ОАО «</w:t>
      </w:r>
      <w:r>
        <w:rPr>
          <w:rFonts w:ascii="Times New Roman" w:hAnsi="Times New Roman" w:cs="Times New Roman"/>
          <w:sz w:val="24"/>
        </w:rPr>
        <w:t xml:space="preserve">Саханефтегазсбыт» </w:t>
      </w:r>
      <w:r w:rsidRPr="006219CA">
        <w:rPr>
          <w:rFonts w:ascii="Times New Roman" w:hAnsi="Times New Roman" w:cs="Times New Roman"/>
          <w:sz w:val="24"/>
        </w:rPr>
        <w:t>установленные по делу №02-</w:t>
      </w:r>
      <w:r>
        <w:rPr>
          <w:rFonts w:ascii="Times New Roman" w:hAnsi="Times New Roman" w:cs="Times New Roman"/>
          <w:sz w:val="24"/>
        </w:rPr>
        <w:t>78</w:t>
      </w:r>
      <w:r w:rsidRPr="006219CA">
        <w:rPr>
          <w:rFonts w:ascii="Times New Roman" w:hAnsi="Times New Roman" w:cs="Times New Roman"/>
          <w:sz w:val="24"/>
        </w:rPr>
        <w:t xml:space="preserve">/12А от </w:t>
      </w:r>
      <w:r>
        <w:rPr>
          <w:rFonts w:ascii="Times New Roman" w:hAnsi="Times New Roman" w:cs="Times New Roman"/>
          <w:sz w:val="24"/>
        </w:rPr>
        <w:t>10.</w:t>
      </w:r>
      <w:r w:rsidRPr="006219CA">
        <w:rPr>
          <w:rFonts w:ascii="Times New Roman" w:hAnsi="Times New Roman" w:cs="Times New Roman"/>
          <w:sz w:val="24"/>
        </w:rPr>
        <w:t>07.2012г. о нарушение п</w:t>
      </w:r>
      <w:r>
        <w:rPr>
          <w:rFonts w:ascii="Times New Roman" w:hAnsi="Times New Roman" w:cs="Times New Roman"/>
          <w:sz w:val="24"/>
        </w:rPr>
        <w:t>ункта 1</w:t>
      </w:r>
      <w:r w:rsidRPr="006219CA">
        <w:rPr>
          <w:rFonts w:ascii="Times New Roman" w:hAnsi="Times New Roman" w:cs="Times New Roman"/>
          <w:sz w:val="24"/>
        </w:rPr>
        <w:t xml:space="preserve"> ч</w:t>
      </w:r>
      <w:r>
        <w:rPr>
          <w:rFonts w:ascii="Times New Roman" w:hAnsi="Times New Roman" w:cs="Times New Roman"/>
          <w:sz w:val="24"/>
        </w:rPr>
        <w:t xml:space="preserve">асти </w:t>
      </w:r>
      <w:r w:rsidRPr="006219CA">
        <w:rPr>
          <w:rFonts w:ascii="Times New Roman" w:hAnsi="Times New Roman" w:cs="Times New Roman"/>
          <w:sz w:val="24"/>
        </w:rPr>
        <w:t>1 ст. 10 Закона О защите конкуренции квалифицируются как с</w:t>
      </w:r>
      <w:r w:rsidRPr="006219CA">
        <w:rPr>
          <w:rFonts w:ascii="Times New Roman" w:hAnsi="Times New Roman" w:cs="Times New Roman"/>
          <w:sz w:val="24"/>
          <w:szCs w:val="24"/>
        </w:rPr>
        <w:t xml:space="preserve">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w:t>
      </w:r>
      <w:hyperlink r:id="rId16" w:history="1">
        <w:r w:rsidRPr="006219CA">
          <w:rPr>
            <w:rFonts w:ascii="Times New Roman" w:hAnsi="Times New Roman" w:cs="Times New Roman"/>
            <w:sz w:val="24"/>
            <w:szCs w:val="24"/>
          </w:rPr>
          <w:t>законодательством</w:t>
        </w:r>
      </w:hyperlink>
      <w:r w:rsidRPr="006219CA">
        <w:rPr>
          <w:rFonts w:ascii="Times New Roman" w:hAnsi="Times New Roman" w:cs="Times New Roman"/>
          <w:sz w:val="24"/>
          <w:szCs w:val="24"/>
        </w:rP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w:t>
      </w:r>
    </w:p>
    <w:p w:rsidR="00E0567D" w:rsidRPr="006219CA" w:rsidRDefault="00E0567D" w:rsidP="00E0567D">
      <w:pPr>
        <w:spacing w:line="240" w:lineRule="auto"/>
        <w:ind w:firstLine="567"/>
        <w:contextualSpacing/>
        <w:jc w:val="both"/>
        <w:rPr>
          <w:rFonts w:ascii="Times New Roman" w:hAnsi="Times New Roman" w:cs="Times New Roman"/>
          <w:sz w:val="24"/>
        </w:rPr>
      </w:pPr>
      <w:r w:rsidRPr="006219CA">
        <w:rPr>
          <w:rFonts w:ascii="Times New Roman" w:hAnsi="Times New Roman" w:cs="Times New Roman"/>
          <w:sz w:val="24"/>
        </w:rPr>
        <w:t>Таким образом, Открытое акционерное общество «</w:t>
      </w:r>
      <w:r>
        <w:rPr>
          <w:rFonts w:ascii="Times New Roman" w:hAnsi="Times New Roman" w:cs="Times New Roman"/>
          <w:sz w:val="24"/>
        </w:rPr>
        <w:t>Саханефтегазсбыт</w:t>
      </w:r>
      <w:r w:rsidRPr="006219CA">
        <w:rPr>
          <w:rFonts w:ascii="Times New Roman" w:hAnsi="Times New Roman" w:cs="Times New Roman"/>
          <w:sz w:val="24"/>
        </w:rPr>
        <w:t xml:space="preserve">» подлежит привлечению к ответственности по части 1 статьи 14.31 Кодекса РФ об административных правонарушениях, поскольку санкция за совершение административного правонарушения смягчена. </w:t>
      </w:r>
    </w:p>
    <w:p w:rsidR="00E0567D" w:rsidRPr="006219CA" w:rsidRDefault="00E0567D" w:rsidP="00E0567D">
      <w:pPr>
        <w:spacing w:line="240" w:lineRule="auto"/>
        <w:ind w:firstLine="567"/>
        <w:contextualSpacing/>
        <w:jc w:val="both"/>
        <w:rPr>
          <w:rFonts w:ascii="Times New Roman" w:hAnsi="Times New Roman" w:cs="Times New Roman"/>
          <w:sz w:val="24"/>
        </w:rPr>
      </w:pPr>
      <w:r w:rsidRPr="006219CA">
        <w:rPr>
          <w:rFonts w:ascii="Times New Roman" w:hAnsi="Times New Roman" w:cs="Times New Roman"/>
          <w:sz w:val="24"/>
        </w:rPr>
        <w:t>На основании изложенного ОАО «</w:t>
      </w:r>
      <w:r>
        <w:rPr>
          <w:rFonts w:ascii="Times New Roman" w:hAnsi="Times New Roman" w:cs="Times New Roman"/>
          <w:sz w:val="24"/>
        </w:rPr>
        <w:t>Саханефтегазсбыт</w:t>
      </w:r>
      <w:r w:rsidRPr="006219CA">
        <w:rPr>
          <w:rFonts w:ascii="Times New Roman" w:hAnsi="Times New Roman" w:cs="Times New Roman"/>
          <w:sz w:val="24"/>
        </w:rPr>
        <w:t>» привлекается к ответственности за совершение административного правонарушения предусмотренного частью 1 ст. 14.31. Кодекса РФ об административных правонарушениях.</w:t>
      </w:r>
    </w:p>
    <w:p w:rsidR="00E0567D" w:rsidRPr="00540F01" w:rsidRDefault="00E0567D" w:rsidP="00E0567D">
      <w:pPr>
        <w:autoSpaceDE w:val="0"/>
        <w:autoSpaceDN w:val="0"/>
        <w:adjustRightInd w:val="0"/>
        <w:spacing w:line="240" w:lineRule="auto"/>
        <w:ind w:firstLine="567"/>
        <w:contextualSpacing/>
        <w:jc w:val="both"/>
        <w:outlineLvl w:val="2"/>
        <w:rPr>
          <w:rFonts w:ascii="Times New Roman" w:hAnsi="Times New Roman" w:cs="Times New Roman"/>
          <w:sz w:val="24"/>
          <w:szCs w:val="24"/>
        </w:rPr>
      </w:pPr>
      <w:r w:rsidRPr="00540F01">
        <w:rPr>
          <w:rFonts w:ascii="Times New Roman" w:hAnsi="Times New Roman" w:cs="Times New Roman"/>
          <w:sz w:val="24"/>
          <w:szCs w:val="24"/>
        </w:rPr>
        <w:t>Пунктом 2 статьи 4.1. Кодекса РФ об административных правонарушениях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E0567D" w:rsidRDefault="00E0567D" w:rsidP="00E0567D">
      <w:pPr>
        <w:autoSpaceDE w:val="0"/>
        <w:autoSpaceDN w:val="0"/>
        <w:adjustRightInd w:val="0"/>
        <w:spacing w:line="240" w:lineRule="auto"/>
        <w:ind w:firstLine="567"/>
        <w:contextualSpacing/>
        <w:jc w:val="both"/>
        <w:outlineLvl w:val="2"/>
        <w:rPr>
          <w:rFonts w:ascii="Times New Roman" w:hAnsi="Times New Roman" w:cs="Times New Roman"/>
          <w:sz w:val="24"/>
          <w:szCs w:val="24"/>
        </w:rPr>
      </w:pPr>
      <w:r w:rsidRPr="00540F01">
        <w:rPr>
          <w:rFonts w:ascii="Times New Roman" w:hAnsi="Times New Roman" w:cs="Times New Roman"/>
          <w:sz w:val="24"/>
          <w:szCs w:val="24"/>
        </w:rPr>
        <w:t>Пунктом 2</w:t>
      </w:r>
      <w:r>
        <w:rPr>
          <w:rFonts w:ascii="Times New Roman" w:hAnsi="Times New Roman" w:cs="Times New Roman"/>
          <w:sz w:val="24"/>
          <w:szCs w:val="24"/>
        </w:rPr>
        <w:t xml:space="preserve"> </w:t>
      </w:r>
      <w:r w:rsidRPr="00540F01">
        <w:rPr>
          <w:rFonts w:ascii="Times New Roman" w:hAnsi="Times New Roman" w:cs="Times New Roman"/>
          <w:sz w:val="24"/>
          <w:szCs w:val="24"/>
        </w:rPr>
        <w:t xml:space="preserve">части 1 статьи </w:t>
      </w:r>
      <w:r>
        <w:rPr>
          <w:rFonts w:ascii="Times New Roman" w:hAnsi="Times New Roman" w:cs="Times New Roman"/>
          <w:sz w:val="24"/>
          <w:szCs w:val="24"/>
        </w:rPr>
        <w:t xml:space="preserve"> </w:t>
      </w:r>
      <w:r w:rsidRPr="00540F01">
        <w:rPr>
          <w:rFonts w:ascii="Times New Roman" w:hAnsi="Times New Roman" w:cs="Times New Roman"/>
          <w:sz w:val="24"/>
          <w:szCs w:val="24"/>
        </w:rPr>
        <w:t xml:space="preserve">4.3 </w:t>
      </w:r>
      <w:r>
        <w:rPr>
          <w:rFonts w:ascii="Times New Roman" w:hAnsi="Times New Roman" w:cs="Times New Roman"/>
          <w:sz w:val="24"/>
          <w:szCs w:val="24"/>
        </w:rPr>
        <w:t xml:space="preserve"> </w:t>
      </w:r>
      <w:r w:rsidRPr="00540F01">
        <w:rPr>
          <w:rFonts w:ascii="Times New Roman" w:hAnsi="Times New Roman" w:cs="Times New Roman"/>
          <w:sz w:val="24"/>
          <w:szCs w:val="24"/>
        </w:rPr>
        <w:t>Кодекса Р</w:t>
      </w:r>
      <w:r>
        <w:rPr>
          <w:rFonts w:ascii="Times New Roman" w:hAnsi="Times New Roman" w:cs="Times New Roman"/>
          <w:sz w:val="24"/>
          <w:szCs w:val="24"/>
        </w:rPr>
        <w:t xml:space="preserve">оссийской  Федерации  об административных правонарушениях </w:t>
      </w:r>
      <w:r w:rsidRPr="00540F01">
        <w:rPr>
          <w:rFonts w:ascii="Times New Roman" w:hAnsi="Times New Roman" w:cs="Times New Roman"/>
          <w:sz w:val="24"/>
          <w:szCs w:val="24"/>
        </w:rPr>
        <w:t xml:space="preserve">предусмотрено, что </w:t>
      </w:r>
      <w:r>
        <w:rPr>
          <w:rFonts w:ascii="Times New Roman" w:hAnsi="Times New Roman" w:cs="Times New Roman"/>
          <w:sz w:val="24"/>
          <w:szCs w:val="24"/>
        </w:rPr>
        <w:t xml:space="preserve"> </w:t>
      </w:r>
      <w:r w:rsidRPr="00540F01">
        <w:rPr>
          <w:rFonts w:ascii="Times New Roman" w:hAnsi="Times New Roman" w:cs="Times New Roman"/>
          <w:sz w:val="24"/>
          <w:szCs w:val="24"/>
        </w:rPr>
        <w:t xml:space="preserve">повторное </w:t>
      </w:r>
      <w:r>
        <w:rPr>
          <w:rFonts w:ascii="Times New Roman" w:hAnsi="Times New Roman" w:cs="Times New Roman"/>
          <w:sz w:val="24"/>
          <w:szCs w:val="24"/>
        </w:rPr>
        <w:t xml:space="preserve"> </w:t>
      </w:r>
      <w:r w:rsidRPr="00540F01">
        <w:rPr>
          <w:rFonts w:ascii="Times New Roman" w:hAnsi="Times New Roman" w:cs="Times New Roman"/>
          <w:sz w:val="24"/>
          <w:szCs w:val="24"/>
        </w:rPr>
        <w:t xml:space="preserve">совершение </w:t>
      </w:r>
      <w:hyperlink r:id="rId17" w:history="1">
        <w:r w:rsidRPr="00540F01">
          <w:rPr>
            <w:rFonts w:ascii="Times New Roman" w:hAnsi="Times New Roman" w:cs="Times New Roman"/>
            <w:sz w:val="24"/>
            <w:szCs w:val="24"/>
          </w:rPr>
          <w:t>однородного</w:t>
        </w:r>
      </w:hyperlink>
      <w:r w:rsidRPr="00540F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0F01">
        <w:rPr>
          <w:rFonts w:ascii="Times New Roman" w:hAnsi="Times New Roman" w:cs="Times New Roman"/>
          <w:sz w:val="24"/>
          <w:szCs w:val="24"/>
        </w:rPr>
        <w:t xml:space="preserve">административного </w:t>
      </w:r>
      <w:r>
        <w:rPr>
          <w:rFonts w:ascii="Times New Roman" w:hAnsi="Times New Roman" w:cs="Times New Roman"/>
          <w:sz w:val="24"/>
          <w:szCs w:val="24"/>
        </w:rPr>
        <w:t xml:space="preserve"> </w:t>
      </w:r>
      <w:r w:rsidRPr="00540F01">
        <w:rPr>
          <w:rFonts w:ascii="Times New Roman" w:hAnsi="Times New Roman" w:cs="Times New Roman"/>
          <w:sz w:val="24"/>
          <w:szCs w:val="24"/>
        </w:rPr>
        <w:t xml:space="preserve">правонарушения, </w:t>
      </w:r>
      <w:r>
        <w:rPr>
          <w:rFonts w:ascii="Times New Roman" w:hAnsi="Times New Roman" w:cs="Times New Roman"/>
          <w:sz w:val="24"/>
          <w:szCs w:val="24"/>
        </w:rPr>
        <w:t xml:space="preserve"> </w:t>
      </w:r>
      <w:r w:rsidRPr="00540F01">
        <w:rPr>
          <w:rFonts w:ascii="Times New Roman" w:hAnsi="Times New Roman" w:cs="Times New Roman"/>
          <w:sz w:val="24"/>
          <w:szCs w:val="24"/>
        </w:rPr>
        <w:t xml:space="preserve">если </w:t>
      </w:r>
      <w:r>
        <w:rPr>
          <w:rFonts w:ascii="Times New Roman" w:hAnsi="Times New Roman" w:cs="Times New Roman"/>
          <w:sz w:val="24"/>
          <w:szCs w:val="24"/>
        </w:rPr>
        <w:t xml:space="preserve"> </w:t>
      </w:r>
      <w:r w:rsidRPr="00540F01">
        <w:rPr>
          <w:rFonts w:ascii="Times New Roman" w:hAnsi="Times New Roman" w:cs="Times New Roman"/>
          <w:sz w:val="24"/>
          <w:szCs w:val="24"/>
        </w:rPr>
        <w:t xml:space="preserve">за </w:t>
      </w:r>
      <w:r>
        <w:rPr>
          <w:rFonts w:ascii="Times New Roman" w:hAnsi="Times New Roman" w:cs="Times New Roman"/>
          <w:sz w:val="24"/>
          <w:szCs w:val="24"/>
        </w:rPr>
        <w:t xml:space="preserve"> </w:t>
      </w:r>
      <w:r w:rsidRPr="00540F01">
        <w:rPr>
          <w:rFonts w:ascii="Times New Roman" w:hAnsi="Times New Roman" w:cs="Times New Roman"/>
          <w:sz w:val="24"/>
          <w:szCs w:val="24"/>
        </w:rPr>
        <w:t xml:space="preserve">совершение </w:t>
      </w:r>
      <w:r>
        <w:rPr>
          <w:rFonts w:ascii="Times New Roman" w:hAnsi="Times New Roman" w:cs="Times New Roman"/>
          <w:sz w:val="24"/>
          <w:szCs w:val="24"/>
        </w:rPr>
        <w:t xml:space="preserve">  </w:t>
      </w:r>
      <w:r w:rsidRPr="00540F01">
        <w:rPr>
          <w:rFonts w:ascii="Times New Roman" w:hAnsi="Times New Roman" w:cs="Times New Roman"/>
          <w:sz w:val="24"/>
          <w:szCs w:val="24"/>
        </w:rPr>
        <w:t xml:space="preserve">первого </w:t>
      </w:r>
    </w:p>
    <w:p w:rsidR="00E0567D" w:rsidRPr="00540F01" w:rsidRDefault="00E0567D" w:rsidP="00E0567D">
      <w:pPr>
        <w:autoSpaceDE w:val="0"/>
        <w:autoSpaceDN w:val="0"/>
        <w:adjustRightInd w:val="0"/>
        <w:spacing w:line="240" w:lineRule="auto"/>
        <w:contextualSpacing/>
        <w:jc w:val="both"/>
        <w:outlineLvl w:val="2"/>
        <w:rPr>
          <w:rFonts w:ascii="Times New Roman" w:hAnsi="Times New Roman" w:cs="Times New Roman"/>
          <w:sz w:val="24"/>
          <w:szCs w:val="24"/>
        </w:rPr>
      </w:pPr>
      <w:r w:rsidRPr="00540F01">
        <w:rPr>
          <w:rFonts w:ascii="Times New Roman" w:hAnsi="Times New Roman" w:cs="Times New Roman"/>
          <w:sz w:val="24"/>
          <w:szCs w:val="24"/>
        </w:rPr>
        <w:t xml:space="preserve">административного правонарушения лицо уже подвергалось административному наказанию, по которому не истек срок, предусмотренный </w:t>
      </w:r>
      <w:hyperlink r:id="rId18" w:history="1">
        <w:r w:rsidRPr="00540F01">
          <w:rPr>
            <w:rFonts w:ascii="Times New Roman" w:hAnsi="Times New Roman" w:cs="Times New Roman"/>
            <w:sz w:val="24"/>
            <w:szCs w:val="24"/>
          </w:rPr>
          <w:t>статьей 4.6</w:t>
        </w:r>
      </w:hyperlink>
      <w:r w:rsidRPr="00540F01">
        <w:rPr>
          <w:rFonts w:ascii="Times New Roman" w:hAnsi="Times New Roman" w:cs="Times New Roman"/>
          <w:sz w:val="24"/>
          <w:szCs w:val="24"/>
        </w:rPr>
        <w:t xml:space="preserve"> настоящего Кодекса является отягчающим обстоятельством.</w:t>
      </w:r>
    </w:p>
    <w:p w:rsidR="00E0567D" w:rsidRPr="00216537" w:rsidRDefault="00E0567D" w:rsidP="00E0567D">
      <w:pPr>
        <w:autoSpaceDE w:val="0"/>
        <w:autoSpaceDN w:val="0"/>
        <w:adjustRightInd w:val="0"/>
        <w:spacing w:line="240" w:lineRule="auto"/>
        <w:ind w:firstLine="539"/>
        <w:contextualSpacing/>
        <w:jc w:val="both"/>
        <w:outlineLvl w:val="2"/>
        <w:rPr>
          <w:rFonts w:ascii="Times New Roman" w:hAnsi="Times New Roman" w:cs="Times New Roman"/>
          <w:sz w:val="24"/>
          <w:szCs w:val="24"/>
        </w:rPr>
      </w:pPr>
      <w:r w:rsidRPr="00216537">
        <w:rPr>
          <w:rFonts w:ascii="Times New Roman" w:hAnsi="Times New Roman" w:cs="Times New Roman"/>
          <w:sz w:val="24"/>
          <w:szCs w:val="24"/>
        </w:rPr>
        <w:t xml:space="preserve">Постановлением от 16 апреля 2012 года по делу №02-24/12-14.31 ОАО  «Саханефтегазсбыт» привлечено к административной ответственности по ч.2 статьи 14.31 Кодекса РФ об административных правонарушениях, за совершение действий по установлению различных цен установив спецификациями к договорам купли-продажи (поставки) нефтепродуктов от 24.03.2010 (для ООО «Промтехресурс» и ООО «Альчанец»), 03.03.2010 (для ООО «Север), 14.12.2010 (для ООО СА «Джугджур-А» и ПК СА «Поиск») экономически, технологически и иным образом не обоснованные различные с Приказом ОАО «Саханефтегазсбыт» №59 от 29.01.2010г. цены на оптово-отпускаемое </w:t>
      </w:r>
      <w:r w:rsidRPr="00216537">
        <w:rPr>
          <w:rFonts w:ascii="Times New Roman" w:hAnsi="Times New Roman" w:cs="Times New Roman"/>
          <w:sz w:val="24"/>
          <w:szCs w:val="24"/>
        </w:rPr>
        <w:lastRenderedPageBreak/>
        <w:t>дизельное топливо</w:t>
      </w:r>
      <w:r>
        <w:rPr>
          <w:rFonts w:ascii="Times New Roman" w:hAnsi="Times New Roman" w:cs="Times New Roman"/>
          <w:sz w:val="24"/>
          <w:szCs w:val="24"/>
        </w:rPr>
        <w:t xml:space="preserve">, </w:t>
      </w:r>
      <w:r w:rsidRPr="00216537">
        <w:rPr>
          <w:rFonts w:ascii="Times New Roman" w:hAnsi="Times New Roman" w:cs="Times New Roman"/>
          <w:sz w:val="24"/>
          <w:szCs w:val="24"/>
        </w:rPr>
        <w:t>с наложением административного штрафа в размере – 8 166 790,00 руб.</w:t>
      </w:r>
    </w:p>
    <w:p w:rsidR="00E0567D" w:rsidRPr="00216537" w:rsidRDefault="00E0567D" w:rsidP="00E0567D">
      <w:pPr>
        <w:autoSpaceDE w:val="0"/>
        <w:autoSpaceDN w:val="0"/>
        <w:adjustRightInd w:val="0"/>
        <w:spacing w:line="240" w:lineRule="auto"/>
        <w:ind w:firstLine="539"/>
        <w:contextualSpacing/>
        <w:jc w:val="both"/>
        <w:outlineLvl w:val="2"/>
        <w:rPr>
          <w:rFonts w:ascii="Times New Roman" w:hAnsi="Times New Roman" w:cs="Times New Roman"/>
          <w:sz w:val="24"/>
          <w:szCs w:val="24"/>
        </w:rPr>
      </w:pPr>
      <w:r w:rsidRPr="00216537">
        <w:rPr>
          <w:rFonts w:ascii="Times New Roman" w:hAnsi="Times New Roman" w:cs="Times New Roman"/>
          <w:sz w:val="24"/>
          <w:szCs w:val="24"/>
        </w:rPr>
        <w:t>Постановление о наложении  штрафа было обжаловано</w:t>
      </w:r>
      <w:r>
        <w:rPr>
          <w:rFonts w:ascii="Times New Roman" w:hAnsi="Times New Roman" w:cs="Times New Roman"/>
          <w:sz w:val="24"/>
          <w:szCs w:val="24"/>
        </w:rPr>
        <w:t xml:space="preserve"> ОАО «Саханефтегазсбыт» </w:t>
      </w:r>
      <w:r w:rsidRPr="00216537">
        <w:rPr>
          <w:rFonts w:ascii="Times New Roman" w:hAnsi="Times New Roman" w:cs="Times New Roman"/>
          <w:sz w:val="24"/>
          <w:szCs w:val="24"/>
        </w:rPr>
        <w:t xml:space="preserve"> в Арбитражный суд Республики Саха (Якутия).  Решением Арбитражного суда Республики Саха (Якутия) от 25 сентября 2012года в удовлетворении заявленных требований </w:t>
      </w:r>
      <w:r>
        <w:rPr>
          <w:rFonts w:ascii="Times New Roman" w:hAnsi="Times New Roman" w:cs="Times New Roman"/>
          <w:sz w:val="24"/>
          <w:szCs w:val="24"/>
        </w:rPr>
        <w:t xml:space="preserve">ОАО «Саханефтегазсбыт» </w:t>
      </w:r>
      <w:r w:rsidRPr="00216537">
        <w:rPr>
          <w:rFonts w:ascii="Times New Roman" w:hAnsi="Times New Roman" w:cs="Times New Roman"/>
          <w:sz w:val="24"/>
          <w:szCs w:val="24"/>
        </w:rPr>
        <w:t>отказано.</w:t>
      </w:r>
    </w:p>
    <w:p w:rsidR="00E0567D" w:rsidRPr="00216537" w:rsidRDefault="00E0567D" w:rsidP="00E0567D">
      <w:pPr>
        <w:autoSpaceDE w:val="0"/>
        <w:autoSpaceDN w:val="0"/>
        <w:adjustRightInd w:val="0"/>
        <w:spacing w:line="240" w:lineRule="auto"/>
        <w:ind w:firstLine="539"/>
        <w:contextualSpacing/>
        <w:jc w:val="both"/>
        <w:outlineLvl w:val="2"/>
        <w:rPr>
          <w:rFonts w:ascii="Times New Roman" w:hAnsi="Times New Roman" w:cs="Times New Roman"/>
          <w:sz w:val="24"/>
          <w:szCs w:val="24"/>
        </w:rPr>
      </w:pPr>
      <w:r w:rsidRPr="00216537">
        <w:rPr>
          <w:rFonts w:ascii="Times New Roman" w:hAnsi="Times New Roman" w:cs="Times New Roman"/>
          <w:sz w:val="24"/>
          <w:szCs w:val="24"/>
        </w:rPr>
        <w:t>Постановлением Четвертого арбитражного апелляционного суда от 25 января 2013г. решение Арбитражного суда  №А58-1707/2012 от 25.09.2012г. оставлено без изменения.</w:t>
      </w:r>
    </w:p>
    <w:p w:rsidR="00E0567D" w:rsidRPr="00216537" w:rsidRDefault="00E0567D" w:rsidP="00E0567D">
      <w:pPr>
        <w:autoSpaceDE w:val="0"/>
        <w:autoSpaceDN w:val="0"/>
        <w:adjustRightInd w:val="0"/>
        <w:spacing w:line="240" w:lineRule="auto"/>
        <w:ind w:firstLine="539"/>
        <w:contextualSpacing/>
        <w:jc w:val="both"/>
        <w:outlineLvl w:val="2"/>
        <w:rPr>
          <w:rFonts w:ascii="Times New Roman" w:hAnsi="Times New Roman" w:cs="Times New Roman"/>
          <w:sz w:val="24"/>
          <w:szCs w:val="24"/>
        </w:rPr>
      </w:pPr>
      <w:r w:rsidRPr="00216537">
        <w:rPr>
          <w:rFonts w:ascii="Times New Roman" w:hAnsi="Times New Roman" w:cs="Times New Roman"/>
          <w:sz w:val="24"/>
          <w:szCs w:val="24"/>
        </w:rPr>
        <w:t>Постановлением Федерального Арбитражного суда Восточно-Сибирского округа от 08.05.2013г. Решение  Арбитражного суда  №А58-1707/2012 от 25.09.2012г.  Постановление Четвертого арбитражного апелляционного суда по тому же делу оставлено без изменения, кассационная жалоба без удовлетворения.</w:t>
      </w:r>
    </w:p>
    <w:p w:rsidR="00E0567D" w:rsidRPr="00216537" w:rsidRDefault="00E0567D" w:rsidP="00E0567D">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216537">
        <w:rPr>
          <w:rFonts w:ascii="Times New Roman" w:hAnsi="Times New Roman" w:cs="Times New Roman"/>
          <w:sz w:val="24"/>
          <w:szCs w:val="24"/>
        </w:rPr>
        <w:t>Штраф в размере – 8 166 790,00 рублей наложенный на ОАО «Саханефтегазсбыт» по делу об административном правонарушении по делу №02-24/12-14.31 от 16.04.2012г. уплачен обществом  07.02.2013</w:t>
      </w:r>
      <w:r>
        <w:rPr>
          <w:rFonts w:ascii="Times New Roman" w:hAnsi="Times New Roman" w:cs="Times New Roman"/>
          <w:sz w:val="24"/>
          <w:szCs w:val="24"/>
        </w:rPr>
        <w:t xml:space="preserve"> </w:t>
      </w:r>
      <w:r w:rsidRPr="00216537">
        <w:rPr>
          <w:rFonts w:ascii="Times New Roman" w:hAnsi="Times New Roman" w:cs="Times New Roman"/>
          <w:sz w:val="24"/>
          <w:szCs w:val="24"/>
        </w:rPr>
        <w:t>года</w:t>
      </w:r>
      <w:r>
        <w:rPr>
          <w:rFonts w:ascii="Times New Roman" w:hAnsi="Times New Roman" w:cs="Times New Roman"/>
          <w:sz w:val="24"/>
          <w:szCs w:val="24"/>
        </w:rPr>
        <w:t xml:space="preserve"> (платежное поручение №398)</w:t>
      </w:r>
      <w:r w:rsidRPr="00216537">
        <w:rPr>
          <w:rFonts w:ascii="Times New Roman" w:hAnsi="Times New Roman" w:cs="Times New Roman"/>
          <w:sz w:val="24"/>
          <w:szCs w:val="24"/>
        </w:rPr>
        <w:t xml:space="preserve">. </w:t>
      </w:r>
    </w:p>
    <w:p w:rsidR="00E0567D" w:rsidRPr="00540F01" w:rsidRDefault="00E0567D" w:rsidP="00E0567D">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216537">
        <w:rPr>
          <w:rFonts w:ascii="Times New Roman" w:hAnsi="Times New Roman" w:cs="Times New Roman"/>
          <w:sz w:val="24"/>
          <w:szCs w:val="24"/>
        </w:rPr>
        <w:t>Согласно статьи 4.6 Кодекса РФ об административных правонарушениях 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окончания исполнения постановления о назначении</w:t>
      </w:r>
      <w:r w:rsidRPr="00540F01">
        <w:rPr>
          <w:rFonts w:ascii="Times New Roman" w:hAnsi="Times New Roman" w:cs="Times New Roman"/>
          <w:sz w:val="24"/>
          <w:szCs w:val="24"/>
        </w:rPr>
        <w:t xml:space="preserve"> административного наказания.</w:t>
      </w:r>
    </w:p>
    <w:p w:rsidR="00E0567D" w:rsidRDefault="00E0567D" w:rsidP="00E0567D">
      <w:pPr>
        <w:autoSpaceDE w:val="0"/>
        <w:autoSpaceDN w:val="0"/>
        <w:adjustRightInd w:val="0"/>
        <w:spacing w:line="240" w:lineRule="auto"/>
        <w:ind w:firstLine="567"/>
        <w:contextualSpacing/>
        <w:jc w:val="both"/>
        <w:outlineLvl w:val="2"/>
        <w:rPr>
          <w:rFonts w:ascii="Times New Roman" w:hAnsi="Times New Roman" w:cs="Times New Roman"/>
          <w:sz w:val="24"/>
          <w:szCs w:val="24"/>
        </w:rPr>
      </w:pPr>
      <w:r w:rsidRPr="00540F01">
        <w:rPr>
          <w:rFonts w:ascii="Times New Roman" w:hAnsi="Times New Roman" w:cs="Times New Roman"/>
          <w:sz w:val="24"/>
          <w:szCs w:val="24"/>
        </w:rPr>
        <w:t xml:space="preserve">Таким образом, ОАО </w:t>
      </w:r>
      <w:r>
        <w:rPr>
          <w:rFonts w:ascii="Times New Roman" w:hAnsi="Times New Roman" w:cs="Times New Roman"/>
          <w:sz w:val="24"/>
          <w:szCs w:val="24"/>
        </w:rPr>
        <w:t>«Саханефтегазсбыт»</w:t>
      </w:r>
      <w:r w:rsidRPr="00540F01">
        <w:rPr>
          <w:rFonts w:ascii="Times New Roman" w:hAnsi="Times New Roman" w:cs="Times New Roman"/>
          <w:sz w:val="24"/>
          <w:szCs w:val="24"/>
        </w:rPr>
        <w:t xml:space="preserve"> до истечения годичного срока со дня окончания исполнения постановления </w:t>
      </w:r>
      <w:r>
        <w:rPr>
          <w:rFonts w:ascii="Times New Roman" w:hAnsi="Times New Roman" w:cs="Times New Roman"/>
          <w:sz w:val="24"/>
          <w:szCs w:val="24"/>
        </w:rPr>
        <w:t xml:space="preserve">от 16 апреля 2012 года </w:t>
      </w:r>
      <w:r w:rsidRPr="00540F01">
        <w:rPr>
          <w:rFonts w:ascii="Times New Roman" w:hAnsi="Times New Roman" w:cs="Times New Roman"/>
          <w:sz w:val="24"/>
          <w:szCs w:val="24"/>
        </w:rPr>
        <w:t xml:space="preserve">по делу № </w:t>
      </w:r>
      <w:r>
        <w:rPr>
          <w:rFonts w:ascii="Times New Roman" w:hAnsi="Times New Roman" w:cs="Times New Roman"/>
          <w:sz w:val="24"/>
          <w:szCs w:val="24"/>
        </w:rPr>
        <w:t>02-24</w:t>
      </w:r>
      <w:r w:rsidRPr="00540F01">
        <w:rPr>
          <w:rFonts w:ascii="Times New Roman" w:hAnsi="Times New Roman" w:cs="Times New Roman"/>
          <w:sz w:val="24"/>
          <w:szCs w:val="24"/>
        </w:rPr>
        <w:t>/1</w:t>
      </w:r>
      <w:r>
        <w:rPr>
          <w:rFonts w:ascii="Times New Roman" w:hAnsi="Times New Roman" w:cs="Times New Roman"/>
          <w:sz w:val="24"/>
          <w:szCs w:val="24"/>
        </w:rPr>
        <w:t>2</w:t>
      </w:r>
      <w:r w:rsidRPr="00540F01">
        <w:rPr>
          <w:rFonts w:ascii="Times New Roman" w:hAnsi="Times New Roman" w:cs="Times New Roman"/>
          <w:sz w:val="24"/>
          <w:szCs w:val="24"/>
        </w:rPr>
        <w:t>-14.31 о назначении административного наказания</w:t>
      </w:r>
      <w:r>
        <w:rPr>
          <w:rFonts w:ascii="Times New Roman" w:hAnsi="Times New Roman" w:cs="Times New Roman"/>
          <w:sz w:val="24"/>
          <w:szCs w:val="24"/>
        </w:rPr>
        <w:t>,</w:t>
      </w:r>
      <w:r w:rsidRPr="00540F01">
        <w:rPr>
          <w:rFonts w:ascii="Times New Roman" w:hAnsi="Times New Roman" w:cs="Times New Roman"/>
          <w:sz w:val="24"/>
          <w:szCs w:val="24"/>
        </w:rPr>
        <w:t xml:space="preserve"> совершило однородное административное правонарушение</w:t>
      </w:r>
      <w:r>
        <w:rPr>
          <w:rFonts w:ascii="Times New Roman" w:hAnsi="Times New Roman" w:cs="Times New Roman"/>
          <w:sz w:val="24"/>
          <w:szCs w:val="24"/>
        </w:rPr>
        <w:t>,</w:t>
      </w:r>
      <w:r w:rsidRPr="00540F01">
        <w:rPr>
          <w:rFonts w:ascii="Times New Roman" w:hAnsi="Times New Roman" w:cs="Times New Roman"/>
          <w:sz w:val="24"/>
          <w:szCs w:val="24"/>
        </w:rPr>
        <w:t xml:space="preserve"> предусмотренное</w:t>
      </w:r>
      <w:r>
        <w:rPr>
          <w:rFonts w:ascii="Times New Roman" w:hAnsi="Times New Roman" w:cs="Times New Roman"/>
          <w:sz w:val="24"/>
          <w:szCs w:val="24"/>
        </w:rPr>
        <w:t xml:space="preserve"> ч.1</w:t>
      </w:r>
      <w:r w:rsidRPr="00540F01">
        <w:rPr>
          <w:rFonts w:ascii="Times New Roman" w:hAnsi="Times New Roman" w:cs="Times New Roman"/>
          <w:sz w:val="24"/>
          <w:szCs w:val="24"/>
        </w:rPr>
        <w:t xml:space="preserve"> ст. 14.31 Кодекса РФ об административных правонарушениях</w:t>
      </w:r>
      <w:r>
        <w:rPr>
          <w:rFonts w:ascii="Times New Roman" w:hAnsi="Times New Roman" w:cs="Times New Roman"/>
          <w:sz w:val="24"/>
          <w:szCs w:val="24"/>
        </w:rPr>
        <w:t>,</w:t>
      </w:r>
      <w:r w:rsidRPr="00540F01">
        <w:rPr>
          <w:rFonts w:ascii="Times New Roman" w:hAnsi="Times New Roman" w:cs="Times New Roman"/>
          <w:sz w:val="24"/>
          <w:szCs w:val="24"/>
        </w:rPr>
        <w:t xml:space="preserve"> </w:t>
      </w:r>
      <w:r w:rsidRPr="00216537">
        <w:rPr>
          <w:rFonts w:ascii="Times New Roman" w:hAnsi="Times New Roman" w:cs="Times New Roman"/>
          <w:sz w:val="24"/>
          <w:szCs w:val="24"/>
        </w:rPr>
        <w:t xml:space="preserve">что является отягчающим обстоятельством.  </w:t>
      </w:r>
    </w:p>
    <w:p w:rsidR="008D40AC" w:rsidRDefault="008D40AC" w:rsidP="008D40AC">
      <w:pPr>
        <w:autoSpaceDE w:val="0"/>
        <w:autoSpaceDN w:val="0"/>
        <w:adjustRightInd w:val="0"/>
        <w:spacing w:line="240" w:lineRule="auto"/>
        <w:ind w:firstLine="567"/>
        <w:contextualSpacing/>
        <w:jc w:val="both"/>
        <w:outlineLvl w:val="2"/>
        <w:rPr>
          <w:rFonts w:ascii="Times New Roman" w:hAnsi="Times New Roman" w:cs="Times New Roman"/>
          <w:sz w:val="24"/>
          <w:szCs w:val="24"/>
        </w:rPr>
      </w:pPr>
      <w:r>
        <w:rPr>
          <w:rFonts w:ascii="Times New Roman" w:hAnsi="Times New Roman" w:cs="Times New Roman"/>
          <w:sz w:val="24"/>
          <w:szCs w:val="24"/>
        </w:rPr>
        <w:t xml:space="preserve">В ходе рассмотрения настоящего дела также установлено еще одно отягчающее обстоятельство, которое учитывается при назначении штрафа. </w:t>
      </w:r>
    </w:p>
    <w:p w:rsidR="008D40AC" w:rsidRDefault="008D40AC" w:rsidP="008D40AC">
      <w:pPr>
        <w:autoSpaceDE w:val="0"/>
        <w:autoSpaceDN w:val="0"/>
        <w:adjustRightInd w:val="0"/>
        <w:spacing w:line="240" w:lineRule="auto"/>
        <w:ind w:firstLine="567"/>
        <w:contextualSpacing/>
        <w:jc w:val="both"/>
        <w:outlineLvl w:val="2"/>
        <w:rPr>
          <w:rFonts w:ascii="Times New Roman" w:hAnsi="Times New Roman" w:cs="Times New Roman"/>
          <w:sz w:val="24"/>
          <w:szCs w:val="24"/>
        </w:rPr>
      </w:pPr>
      <w:r w:rsidRPr="00CC61F6">
        <w:rPr>
          <w:rFonts w:ascii="Times New Roman" w:hAnsi="Times New Roman" w:cs="Times New Roman"/>
          <w:sz w:val="24"/>
          <w:szCs w:val="24"/>
        </w:rPr>
        <w:t xml:space="preserve">В соответствии с подпунктом 2 части 3 примечаний к статье 14.31  Кодекса Российской Федерации об административных правонарушениях при назначении административного наказания за совершение административного правонарушения, предусмотренного настоящей статьей либо </w:t>
      </w:r>
      <w:hyperlink r:id="rId19" w:history="1">
        <w:r w:rsidRPr="00CC61F6">
          <w:rPr>
            <w:rFonts w:ascii="Times New Roman" w:hAnsi="Times New Roman" w:cs="Times New Roman"/>
            <w:color w:val="0000FF"/>
            <w:sz w:val="24"/>
            <w:szCs w:val="24"/>
          </w:rPr>
          <w:t>статьей 14.31.1</w:t>
        </w:r>
      </w:hyperlink>
      <w:r w:rsidRPr="00CC61F6">
        <w:rPr>
          <w:rFonts w:ascii="Times New Roman" w:hAnsi="Times New Roman" w:cs="Times New Roman"/>
          <w:sz w:val="24"/>
          <w:szCs w:val="24"/>
        </w:rPr>
        <w:t xml:space="preserve">, </w:t>
      </w:r>
      <w:hyperlink r:id="rId20" w:history="1">
        <w:r w:rsidRPr="00CC61F6">
          <w:rPr>
            <w:rFonts w:ascii="Times New Roman" w:hAnsi="Times New Roman" w:cs="Times New Roman"/>
            <w:color w:val="0000FF"/>
            <w:sz w:val="24"/>
            <w:szCs w:val="24"/>
          </w:rPr>
          <w:t>14.31.2</w:t>
        </w:r>
      </w:hyperlink>
      <w:r w:rsidRPr="00CC61F6">
        <w:rPr>
          <w:rFonts w:ascii="Times New Roman" w:hAnsi="Times New Roman" w:cs="Times New Roman"/>
          <w:sz w:val="24"/>
          <w:szCs w:val="24"/>
        </w:rPr>
        <w:t xml:space="preserve"> или </w:t>
      </w:r>
      <w:hyperlink r:id="rId21" w:history="1">
        <w:r w:rsidRPr="00CC61F6">
          <w:rPr>
            <w:rFonts w:ascii="Times New Roman" w:hAnsi="Times New Roman" w:cs="Times New Roman"/>
            <w:color w:val="0000FF"/>
            <w:sz w:val="24"/>
            <w:szCs w:val="24"/>
          </w:rPr>
          <w:t>14.33</w:t>
        </w:r>
      </w:hyperlink>
      <w:r w:rsidRPr="00CC61F6">
        <w:rPr>
          <w:rFonts w:ascii="Times New Roman" w:hAnsi="Times New Roman" w:cs="Times New Roman"/>
          <w:sz w:val="24"/>
          <w:szCs w:val="24"/>
        </w:rPr>
        <w:t xml:space="preserve"> настоящего Кодекса, в отношении юридического лица учитываются обстоятельства, отягчающие административную ответственность, в том числе путем причинения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8D40AC" w:rsidRPr="00CC61F6" w:rsidRDefault="008D40AC" w:rsidP="008D40AC">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CC61F6">
        <w:rPr>
          <w:rFonts w:ascii="Times New Roman" w:hAnsi="Times New Roman" w:cs="Times New Roman"/>
          <w:sz w:val="24"/>
          <w:szCs w:val="24"/>
        </w:rPr>
        <w:t>Материалами дела №02-78/12А о нарушении антимонопольного законодательства установлено следующее.</w:t>
      </w:r>
    </w:p>
    <w:p w:rsidR="008D40AC" w:rsidRPr="00CC61F6" w:rsidRDefault="008D40AC" w:rsidP="008D40AC">
      <w:pPr>
        <w:autoSpaceDE w:val="0"/>
        <w:autoSpaceDN w:val="0"/>
        <w:adjustRightInd w:val="0"/>
        <w:spacing w:line="240" w:lineRule="auto"/>
        <w:contextualSpacing/>
        <w:jc w:val="both"/>
        <w:outlineLvl w:val="1"/>
        <w:rPr>
          <w:rFonts w:ascii="Times New Roman" w:hAnsi="Times New Roman" w:cs="Times New Roman"/>
          <w:sz w:val="24"/>
          <w:szCs w:val="24"/>
        </w:rPr>
      </w:pPr>
      <w:r w:rsidRPr="00CC61F6">
        <w:rPr>
          <w:rFonts w:ascii="Times New Roman" w:hAnsi="Times New Roman" w:cs="Times New Roman"/>
          <w:sz w:val="24"/>
          <w:szCs w:val="24"/>
        </w:rPr>
        <w:t>ОАО «Саханефтегазсбыт» в 2011 г., в январе 2012г. на оказываемые услуги фактически установило следующие цены</w:t>
      </w:r>
      <w:r>
        <w:rPr>
          <w:rFonts w:ascii="Times New Roman" w:hAnsi="Times New Roman" w:cs="Times New Roman"/>
          <w:sz w:val="24"/>
          <w:szCs w:val="24"/>
        </w:rPr>
        <w:t xml:space="preserve"> (</w:t>
      </w:r>
      <w:r w:rsidRPr="00CC61F6">
        <w:rPr>
          <w:rFonts w:ascii="Times New Roman" w:hAnsi="Times New Roman" w:cs="Times New Roman"/>
          <w:i/>
          <w:sz w:val="24"/>
          <w:szCs w:val="24"/>
        </w:rPr>
        <w:t>страница 4 решения от 10.07.2012 по делу №02-78/12А</w:t>
      </w:r>
      <w:r>
        <w:rPr>
          <w:rFonts w:ascii="Times New Roman" w:hAnsi="Times New Roman" w:cs="Times New Roman"/>
          <w:sz w:val="24"/>
          <w:szCs w:val="24"/>
        </w:rPr>
        <w:t>)</w:t>
      </w:r>
      <w:r w:rsidRPr="00CC61F6">
        <w:rPr>
          <w:rFonts w:ascii="Times New Roman" w:hAnsi="Times New Roman" w:cs="Times New Roman"/>
          <w:sz w:val="24"/>
          <w:szCs w:val="24"/>
        </w:rPr>
        <w:t>:</w:t>
      </w:r>
    </w:p>
    <w:p w:rsidR="008D40AC" w:rsidRPr="00CC61F6" w:rsidRDefault="008D40AC" w:rsidP="008D40AC">
      <w:pPr>
        <w:autoSpaceDE w:val="0"/>
        <w:autoSpaceDN w:val="0"/>
        <w:adjustRightInd w:val="0"/>
        <w:spacing w:line="240" w:lineRule="auto"/>
        <w:contextualSpacing/>
        <w:outlineLvl w:val="1"/>
        <w:rPr>
          <w:rFonts w:ascii="Times New Roman" w:hAnsi="Times New Roman" w:cs="Times New Roman"/>
          <w:sz w:val="24"/>
          <w:szCs w:val="24"/>
        </w:rPr>
      </w:pPr>
      <w:r w:rsidRPr="00CC61F6">
        <w:rPr>
          <w:rFonts w:ascii="Times New Roman" w:hAnsi="Times New Roman" w:cs="Times New Roman"/>
          <w:sz w:val="24"/>
          <w:szCs w:val="24"/>
        </w:rPr>
        <w:t>1) на услуги хранения нефтепродуктов в размере:</w:t>
      </w:r>
    </w:p>
    <w:p w:rsidR="008D40AC" w:rsidRPr="00CC61F6" w:rsidRDefault="008D40AC" w:rsidP="008D40AC">
      <w:pPr>
        <w:autoSpaceDE w:val="0"/>
        <w:autoSpaceDN w:val="0"/>
        <w:adjustRightInd w:val="0"/>
        <w:spacing w:line="240" w:lineRule="auto"/>
        <w:contextualSpacing/>
        <w:outlineLvl w:val="1"/>
        <w:rPr>
          <w:rFonts w:ascii="Times New Roman" w:hAnsi="Times New Roman" w:cs="Times New Roman"/>
          <w:sz w:val="24"/>
          <w:szCs w:val="24"/>
        </w:rPr>
      </w:pPr>
      <w:r w:rsidRPr="00CC61F6">
        <w:rPr>
          <w:rFonts w:ascii="Times New Roman" w:hAnsi="Times New Roman" w:cs="Times New Roman"/>
          <w:sz w:val="24"/>
          <w:szCs w:val="24"/>
        </w:rPr>
        <w:t>- для нефтепродуктов страхового запаса – 1,21 руб/тн без НДС;</w:t>
      </w:r>
    </w:p>
    <w:p w:rsidR="008D40AC" w:rsidRPr="00CC61F6" w:rsidRDefault="008D40AC" w:rsidP="008D40AC">
      <w:pPr>
        <w:autoSpaceDE w:val="0"/>
        <w:autoSpaceDN w:val="0"/>
        <w:adjustRightInd w:val="0"/>
        <w:spacing w:line="240" w:lineRule="auto"/>
        <w:contextualSpacing/>
        <w:outlineLvl w:val="1"/>
        <w:rPr>
          <w:rFonts w:ascii="Times New Roman" w:hAnsi="Times New Roman" w:cs="Times New Roman"/>
          <w:sz w:val="24"/>
          <w:szCs w:val="24"/>
        </w:rPr>
      </w:pPr>
      <w:r w:rsidRPr="00CC61F6">
        <w:rPr>
          <w:rFonts w:ascii="Times New Roman" w:hAnsi="Times New Roman" w:cs="Times New Roman"/>
          <w:sz w:val="24"/>
          <w:szCs w:val="24"/>
        </w:rPr>
        <w:t>- для нефтепродуктов для госнужд – 6,95 руб/тн без НДС;</w:t>
      </w:r>
    </w:p>
    <w:p w:rsidR="008D40AC" w:rsidRPr="00CC61F6" w:rsidRDefault="008D40AC" w:rsidP="008D40AC">
      <w:pPr>
        <w:autoSpaceDE w:val="0"/>
        <w:autoSpaceDN w:val="0"/>
        <w:adjustRightInd w:val="0"/>
        <w:spacing w:line="240" w:lineRule="auto"/>
        <w:contextualSpacing/>
        <w:outlineLvl w:val="1"/>
        <w:rPr>
          <w:rFonts w:ascii="Times New Roman" w:hAnsi="Times New Roman" w:cs="Times New Roman"/>
          <w:sz w:val="24"/>
          <w:szCs w:val="24"/>
        </w:rPr>
      </w:pPr>
      <w:r w:rsidRPr="00CC61F6">
        <w:rPr>
          <w:rFonts w:ascii="Times New Roman" w:hAnsi="Times New Roman" w:cs="Times New Roman"/>
          <w:sz w:val="24"/>
          <w:szCs w:val="24"/>
        </w:rPr>
        <w:t>- для местного топлива и сельхозтоваропроизводителей – 7,06 руб/тн без НДС;</w:t>
      </w:r>
    </w:p>
    <w:p w:rsidR="008D40AC" w:rsidRPr="00CC61F6" w:rsidRDefault="008D40AC" w:rsidP="008D40AC">
      <w:pPr>
        <w:autoSpaceDE w:val="0"/>
        <w:autoSpaceDN w:val="0"/>
        <w:adjustRightInd w:val="0"/>
        <w:spacing w:line="240" w:lineRule="auto"/>
        <w:contextualSpacing/>
        <w:outlineLvl w:val="1"/>
        <w:rPr>
          <w:rFonts w:ascii="Times New Roman" w:hAnsi="Times New Roman" w:cs="Times New Roman"/>
          <w:sz w:val="24"/>
          <w:szCs w:val="24"/>
        </w:rPr>
      </w:pPr>
      <w:r w:rsidRPr="00CC61F6">
        <w:rPr>
          <w:rFonts w:ascii="Times New Roman" w:hAnsi="Times New Roman" w:cs="Times New Roman"/>
          <w:sz w:val="24"/>
          <w:szCs w:val="24"/>
        </w:rPr>
        <w:t>- для прочих поклажедателей и АК «АЛРОСА» (ОАО) – 8,29 руб/тн без НДС;</w:t>
      </w:r>
    </w:p>
    <w:p w:rsidR="008D40AC" w:rsidRPr="00CC61F6" w:rsidRDefault="008D40AC" w:rsidP="008D40AC">
      <w:pPr>
        <w:autoSpaceDE w:val="0"/>
        <w:autoSpaceDN w:val="0"/>
        <w:adjustRightInd w:val="0"/>
        <w:spacing w:line="240" w:lineRule="auto"/>
        <w:contextualSpacing/>
        <w:outlineLvl w:val="1"/>
        <w:rPr>
          <w:rFonts w:ascii="Times New Roman" w:hAnsi="Times New Roman" w:cs="Times New Roman"/>
          <w:sz w:val="24"/>
          <w:szCs w:val="24"/>
        </w:rPr>
      </w:pPr>
      <w:r w:rsidRPr="00CC61F6">
        <w:rPr>
          <w:rFonts w:ascii="Times New Roman" w:hAnsi="Times New Roman" w:cs="Times New Roman"/>
          <w:sz w:val="24"/>
          <w:szCs w:val="24"/>
        </w:rPr>
        <w:t>2) на услуги по приемо-складским операциям:</w:t>
      </w:r>
    </w:p>
    <w:p w:rsidR="008D40AC" w:rsidRPr="00CC61F6" w:rsidRDefault="008D40AC" w:rsidP="008D40AC">
      <w:pPr>
        <w:autoSpaceDE w:val="0"/>
        <w:autoSpaceDN w:val="0"/>
        <w:adjustRightInd w:val="0"/>
        <w:spacing w:line="240" w:lineRule="auto"/>
        <w:contextualSpacing/>
        <w:outlineLvl w:val="1"/>
        <w:rPr>
          <w:rFonts w:ascii="Times New Roman" w:hAnsi="Times New Roman" w:cs="Times New Roman"/>
          <w:sz w:val="24"/>
          <w:szCs w:val="24"/>
        </w:rPr>
      </w:pPr>
      <w:r w:rsidRPr="00CC61F6">
        <w:rPr>
          <w:rFonts w:ascii="Times New Roman" w:hAnsi="Times New Roman" w:cs="Times New Roman"/>
          <w:sz w:val="24"/>
          <w:szCs w:val="24"/>
        </w:rPr>
        <w:t>- для местного топлива - 646,75 руб./тн. без НДС;</w:t>
      </w:r>
    </w:p>
    <w:p w:rsidR="008D40AC" w:rsidRPr="00CC61F6" w:rsidRDefault="008D40AC" w:rsidP="008D40AC">
      <w:pPr>
        <w:autoSpaceDE w:val="0"/>
        <w:autoSpaceDN w:val="0"/>
        <w:adjustRightInd w:val="0"/>
        <w:spacing w:line="240" w:lineRule="auto"/>
        <w:ind w:firstLine="709"/>
        <w:contextualSpacing/>
        <w:outlineLvl w:val="1"/>
        <w:rPr>
          <w:rFonts w:ascii="Times New Roman" w:hAnsi="Times New Roman" w:cs="Times New Roman"/>
          <w:sz w:val="24"/>
          <w:szCs w:val="24"/>
        </w:rPr>
      </w:pPr>
      <w:r w:rsidRPr="00CC61F6">
        <w:rPr>
          <w:rFonts w:ascii="Times New Roman" w:hAnsi="Times New Roman" w:cs="Times New Roman"/>
          <w:sz w:val="24"/>
          <w:szCs w:val="24"/>
        </w:rPr>
        <w:t>- для нефтепродуктов (кроме местного топлива) – 774,9 руб./тн. без НДС.</w:t>
      </w:r>
    </w:p>
    <w:p w:rsidR="008D40AC" w:rsidRPr="00CC61F6" w:rsidRDefault="008D40AC" w:rsidP="008D40AC">
      <w:pPr>
        <w:spacing w:line="240" w:lineRule="auto"/>
        <w:ind w:firstLine="709"/>
        <w:contextualSpacing/>
        <w:rPr>
          <w:rFonts w:ascii="Times New Roman" w:hAnsi="Times New Roman" w:cs="Times New Roman"/>
          <w:sz w:val="24"/>
          <w:szCs w:val="24"/>
        </w:rPr>
      </w:pPr>
      <w:r w:rsidRPr="00CC61F6">
        <w:rPr>
          <w:rFonts w:ascii="Times New Roman" w:hAnsi="Times New Roman" w:cs="Times New Roman"/>
          <w:sz w:val="24"/>
          <w:szCs w:val="24"/>
        </w:rPr>
        <w:t>При обоснованной стоимости услуг, не превышающих (</w:t>
      </w:r>
      <w:r w:rsidRPr="00CC61F6">
        <w:rPr>
          <w:rFonts w:ascii="Times New Roman" w:hAnsi="Times New Roman" w:cs="Times New Roman"/>
          <w:i/>
          <w:sz w:val="24"/>
          <w:szCs w:val="24"/>
        </w:rPr>
        <w:t xml:space="preserve">страница </w:t>
      </w:r>
      <w:r>
        <w:rPr>
          <w:rFonts w:ascii="Times New Roman" w:hAnsi="Times New Roman" w:cs="Times New Roman"/>
          <w:i/>
          <w:sz w:val="24"/>
          <w:szCs w:val="24"/>
        </w:rPr>
        <w:t>7</w:t>
      </w:r>
      <w:r w:rsidRPr="00CC61F6">
        <w:rPr>
          <w:rFonts w:ascii="Times New Roman" w:hAnsi="Times New Roman" w:cs="Times New Roman"/>
          <w:i/>
          <w:sz w:val="24"/>
          <w:szCs w:val="24"/>
        </w:rPr>
        <w:t xml:space="preserve"> решения от 10.07.2012 по делу №02-</w:t>
      </w:r>
      <w:r>
        <w:rPr>
          <w:rFonts w:ascii="Times New Roman" w:hAnsi="Times New Roman" w:cs="Times New Roman"/>
          <w:i/>
          <w:sz w:val="24"/>
          <w:szCs w:val="24"/>
        </w:rPr>
        <w:t>78</w:t>
      </w:r>
      <w:r w:rsidRPr="00CC61F6">
        <w:rPr>
          <w:rFonts w:ascii="Times New Roman" w:hAnsi="Times New Roman" w:cs="Times New Roman"/>
          <w:i/>
          <w:sz w:val="24"/>
          <w:szCs w:val="24"/>
        </w:rPr>
        <w:t>/12А</w:t>
      </w:r>
      <w:r w:rsidRPr="00CC61F6">
        <w:rPr>
          <w:rFonts w:ascii="Times New Roman" w:hAnsi="Times New Roman" w:cs="Times New Roman"/>
          <w:sz w:val="24"/>
          <w:szCs w:val="24"/>
        </w:rPr>
        <w:t xml:space="preserve">): </w:t>
      </w:r>
    </w:p>
    <w:p w:rsidR="008D40AC" w:rsidRPr="00CC61F6" w:rsidRDefault="008D40AC" w:rsidP="008D40AC">
      <w:pPr>
        <w:spacing w:line="240" w:lineRule="auto"/>
        <w:ind w:firstLine="709"/>
        <w:contextualSpacing/>
        <w:rPr>
          <w:rFonts w:ascii="Times New Roman" w:hAnsi="Times New Roman" w:cs="Times New Roman"/>
          <w:sz w:val="24"/>
          <w:szCs w:val="24"/>
        </w:rPr>
      </w:pPr>
      <w:r w:rsidRPr="00CC61F6">
        <w:rPr>
          <w:rFonts w:ascii="Times New Roman" w:hAnsi="Times New Roman" w:cs="Times New Roman"/>
          <w:sz w:val="24"/>
          <w:szCs w:val="24"/>
        </w:rPr>
        <w:t xml:space="preserve">- по приему, перевалке, отпуску 1 тонны нефтепродукта – 728,33 руб. (423341 тыс. руб./581,25 тыс.тн.); </w:t>
      </w:r>
    </w:p>
    <w:p w:rsidR="008D40AC" w:rsidRPr="00CC61F6" w:rsidRDefault="008D40AC" w:rsidP="008D40AC">
      <w:pPr>
        <w:spacing w:line="240" w:lineRule="auto"/>
        <w:ind w:firstLine="709"/>
        <w:contextualSpacing/>
        <w:rPr>
          <w:rFonts w:ascii="Times New Roman" w:hAnsi="Times New Roman" w:cs="Times New Roman"/>
          <w:sz w:val="24"/>
          <w:szCs w:val="24"/>
        </w:rPr>
      </w:pPr>
      <w:r w:rsidRPr="00CC61F6">
        <w:rPr>
          <w:rFonts w:ascii="Times New Roman" w:hAnsi="Times New Roman" w:cs="Times New Roman"/>
          <w:sz w:val="24"/>
          <w:szCs w:val="24"/>
        </w:rPr>
        <w:lastRenderedPageBreak/>
        <w:t xml:space="preserve">- по хранению 1 тонны нефтепродукта в 1 сутки – 6,61 руб. (658507,8 тыс.руб./501,83 тыс.тн. /средний срок хранения 198,5 дней). </w:t>
      </w:r>
    </w:p>
    <w:p w:rsidR="008D40AC" w:rsidRPr="00CC61F6" w:rsidRDefault="008D40AC" w:rsidP="008D40AC">
      <w:pPr>
        <w:pStyle w:val="ad"/>
        <w:ind w:left="0"/>
      </w:pPr>
      <w:r w:rsidRPr="00CC61F6">
        <w:t xml:space="preserve">Таким образом, превышение установленных ОАО «Саханефтегазсбыт» тарифов для прочих поклажедателей и АК «АЛРОСА» (ОАО) над обоснованной стоимостью услуг составили </w:t>
      </w:r>
      <w:r w:rsidRPr="00CC61F6">
        <w:rPr>
          <w:b/>
        </w:rPr>
        <w:t>1,68 руб./тн.-дн.</w:t>
      </w:r>
      <w:r w:rsidRPr="00CC61F6">
        <w:t xml:space="preserve"> по хранению нефтепродуктов (8,29 руб./тн.-дни – 6,61 руб./тн.-дни) и </w:t>
      </w:r>
      <w:r w:rsidRPr="00CC61F6">
        <w:rPr>
          <w:b/>
        </w:rPr>
        <w:t>46,62 руб./тн.</w:t>
      </w:r>
      <w:r w:rsidRPr="00CC61F6">
        <w:t xml:space="preserve"> по приемо-складским операциям для нефтепродуктов (кроме местного топлива) (774,95 руб./тн. – 728,33 руб./тн.).</w:t>
      </w:r>
    </w:p>
    <w:p w:rsidR="008D40AC" w:rsidRDefault="008D40AC" w:rsidP="008D40AC">
      <w:pPr>
        <w:pStyle w:val="ad"/>
        <w:ind w:left="0" w:right="-1"/>
      </w:pPr>
      <w:r>
        <w:t>Согласно имеющейся в материалах дела информации об объеме оказанных услуг (представлено письмом представителя ОАО «Саханефтегазсбыт» 26.06.2012) фактически за 2011 год ОАО «Саханефтегазсбыт» оказало услуги в следующем объеме:</w:t>
      </w:r>
    </w:p>
    <w:p w:rsidR="008D40AC" w:rsidRDefault="008D40AC" w:rsidP="008D40AC">
      <w:pPr>
        <w:pStyle w:val="ad"/>
        <w:ind w:left="0" w:right="-1"/>
      </w:pPr>
      <w:r>
        <w:t>- по хранению нефтепродуктов прочих поклажедателей – 54970,62 тыс.тн.-дн., в том числе АК «АЛРОСА» - 25007,38 тыс.тн.-дн.;</w:t>
      </w:r>
    </w:p>
    <w:p w:rsidR="008D40AC" w:rsidRDefault="008D40AC" w:rsidP="008D40AC">
      <w:pPr>
        <w:pStyle w:val="ad"/>
        <w:ind w:left="0" w:right="-1"/>
      </w:pPr>
      <w:r>
        <w:t>- по приемо-складским операциям прочих нефтепродуктов (кроме местного топлива) – 352,92 тыс.тн.</w:t>
      </w:r>
    </w:p>
    <w:p w:rsidR="008D40AC" w:rsidRDefault="008D40AC" w:rsidP="008D40AC">
      <w:pPr>
        <w:pStyle w:val="ad"/>
        <w:ind w:left="0" w:right="-1"/>
      </w:pPr>
      <w:r>
        <w:t>Исходя из вышеизложенного, ОАО «Саханефтегазсбыт» в результате совершения административного правонарушения извлек доход в размере более пяти миллионов рублей, а именно:</w:t>
      </w:r>
    </w:p>
    <w:p w:rsidR="008D40AC" w:rsidRDefault="008D40AC" w:rsidP="008D40AC">
      <w:pPr>
        <w:pStyle w:val="ad"/>
        <w:ind w:left="0" w:right="-1"/>
      </w:pPr>
      <w:r>
        <w:t xml:space="preserve">- по хранению нефтепродуктов прочих поклажедателей – </w:t>
      </w:r>
      <w:r w:rsidRPr="00CC61F6">
        <w:rPr>
          <w:b/>
        </w:rPr>
        <w:t>92 350,6 тыс.руб.</w:t>
      </w:r>
      <w:r>
        <w:t xml:space="preserve"> (1,68 руб./тн.-дн. * 54970,62 тыс.тн.-дн.), в том числе АК «АЛРОСА» - 42 012,4 тыс.руб. (1,68 руб./тн.-дн. * 25007,38 тыс.тн.-дн.);</w:t>
      </w:r>
    </w:p>
    <w:p w:rsidR="008D40AC" w:rsidRDefault="008D40AC" w:rsidP="008D40AC">
      <w:pPr>
        <w:pStyle w:val="ad"/>
        <w:ind w:left="0" w:right="-1"/>
      </w:pPr>
      <w:r>
        <w:t xml:space="preserve">- по приемо-складским операциям прочих нефтепродуктов (кроме местного топлива) – </w:t>
      </w:r>
      <w:r w:rsidRPr="00CC61F6">
        <w:rPr>
          <w:b/>
        </w:rPr>
        <w:t>16 453,1 тыс.руб.</w:t>
      </w:r>
      <w:r>
        <w:t xml:space="preserve"> (46,62 руб./тн. * 352,92 тыс.тн.).</w:t>
      </w:r>
    </w:p>
    <w:p w:rsidR="008D40AC" w:rsidRDefault="008D40AC" w:rsidP="008D40AC">
      <w:pPr>
        <w:pStyle w:val="ad"/>
        <w:ind w:left="0" w:right="-1"/>
      </w:pPr>
      <w:r>
        <w:t xml:space="preserve">что квалифицируется как обстоятельство отягчающее административную ответственность.  </w:t>
      </w:r>
    </w:p>
    <w:p w:rsidR="008D40AC" w:rsidRDefault="008D40AC" w:rsidP="008D40AC">
      <w:pPr>
        <w:autoSpaceDE w:val="0"/>
        <w:autoSpaceDN w:val="0"/>
        <w:adjustRightInd w:val="0"/>
        <w:spacing w:line="240" w:lineRule="auto"/>
        <w:ind w:firstLine="567"/>
        <w:contextualSpacing/>
        <w:jc w:val="both"/>
        <w:outlineLvl w:val="2"/>
        <w:rPr>
          <w:rFonts w:ascii="Times New Roman" w:hAnsi="Times New Roman" w:cs="Times New Roman"/>
          <w:sz w:val="24"/>
          <w:szCs w:val="24"/>
        </w:rPr>
      </w:pPr>
      <w:r>
        <w:rPr>
          <w:rFonts w:ascii="Times New Roman" w:hAnsi="Times New Roman" w:cs="Times New Roman"/>
          <w:sz w:val="24"/>
          <w:szCs w:val="24"/>
        </w:rPr>
        <w:t>Также при рассмотрении настоящего дела установлено обстоятельство смягчающее административную ответственность в соответствии с пунктом 7 ст. 4.2 Кодекса РФ об административных правонарушениях,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w:t>
      </w:r>
    </w:p>
    <w:p w:rsidR="008D40AC" w:rsidRDefault="008D40AC" w:rsidP="008D40AC">
      <w:pPr>
        <w:autoSpaceDE w:val="0"/>
        <w:autoSpaceDN w:val="0"/>
        <w:adjustRightInd w:val="0"/>
        <w:spacing w:line="240" w:lineRule="auto"/>
        <w:ind w:firstLine="567"/>
        <w:contextualSpacing/>
        <w:jc w:val="both"/>
        <w:outlineLvl w:val="2"/>
        <w:rPr>
          <w:rFonts w:ascii="Times New Roman" w:hAnsi="Times New Roman" w:cs="Times New Roman"/>
          <w:sz w:val="24"/>
          <w:szCs w:val="24"/>
        </w:rPr>
      </w:pPr>
      <w:r>
        <w:rPr>
          <w:rFonts w:ascii="Times New Roman" w:hAnsi="Times New Roman" w:cs="Times New Roman"/>
          <w:sz w:val="24"/>
          <w:szCs w:val="24"/>
        </w:rPr>
        <w:t>20 августа 2012г. исх №07-05/839 ОАО «Саханефтегазсбыт» во исполнение предписания УФАС по РС(Я) от 10.07.2012г. по делу №02-78/12А направлен Приказ ОАО «Саханефтегазсбыт» от 09.06.2012г. №261 об утверждении с 01 июля 2012 года тарифов на услуги ОАО «Саханефтегазсбыт»: - по приемо-складским операциям (прием, первалка, отпуск нефтепродуктов) в размере 650, 00 рублей за 1 тн без НДС;</w:t>
      </w:r>
    </w:p>
    <w:p w:rsidR="008D40AC" w:rsidRDefault="008D40AC" w:rsidP="008D40AC">
      <w:pPr>
        <w:autoSpaceDE w:val="0"/>
        <w:autoSpaceDN w:val="0"/>
        <w:adjustRightInd w:val="0"/>
        <w:spacing w:line="240" w:lineRule="auto"/>
        <w:ind w:firstLine="567"/>
        <w:contextualSpacing/>
        <w:jc w:val="both"/>
        <w:outlineLvl w:val="2"/>
        <w:rPr>
          <w:rFonts w:ascii="Times New Roman" w:hAnsi="Times New Roman" w:cs="Times New Roman"/>
          <w:sz w:val="24"/>
          <w:szCs w:val="24"/>
        </w:rPr>
      </w:pPr>
      <w:r>
        <w:rPr>
          <w:rFonts w:ascii="Times New Roman" w:hAnsi="Times New Roman" w:cs="Times New Roman"/>
          <w:sz w:val="24"/>
          <w:szCs w:val="24"/>
        </w:rPr>
        <w:t xml:space="preserve">- по хранению в размере 7.70 руб. за 1 тн в сутки без НДС, в том числе по услугам хранения нефтепродуктов, находящихся на хранении в резервуарах филиалов-нефтебаз, предназначенных для отпуска через АЗС.    </w:t>
      </w:r>
    </w:p>
    <w:p w:rsidR="008D40AC" w:rsidRDefault="008D40AC" w:rsidP="008D40AC">
      <w:pPr>
        <w:autoSpaceDE w:val="0"/>
        <w:autoSpaceDN w:val="0"/>
        <w:adjustRightInd w:val="0"/>
        <w:spacing w:line="240" w:lineRule="auto"/>
        <w:ind w:firstLine="567"/>
        <w:contextualSpacing/>
        <w:jc w:val="both"/>
        <w:outlineLvl w:val="2"/>
        <w:rPr>
          <w:rFonts w:ascii="Times New Roman" w:hAnsi="Times New Roman" w:cs="Times New Roman"/>
          <w:sz w:val="24"/>
          <w:szCs w:val="24"/>
        </w:rPr>
      </w:pPr>
      <w:r>
        <w:rPr>
          <w:rFonts w:ascii="Times New Roman" w:hAnsi="Times New Roman" w:cs="Times New Roman"/>
          <w:sz w:val="24"/>
          <w:szCs w:val="24"/>
        </w:rPr>
        <w:t xml:space="preserve">Таким образом. ОАО «Саханефтегазсбыт» добровольно исполнил до вынесения постановления по делу об административном правонарушении, предписание о прекращении нарушения антимонопольного законодательства выданного Якутским УФАС России по результатам рассмотрения дела №02-78/12А от 10.07.2012г.  </w:t>
      </w:r>
    </w:p>
    <w:p w:rsidR="008D40AC" w:rsidRDefault="008D40AC" w:rsidP="008D40AC">
      <w:pPr>
        <w:autoSpaceDE w:val="0"/>
        <w:autoSpaceDN w:val="0"/>
        <w:adjustRightInd w:val="0"/>
        <w:spacing w:line="240" w:lineRule="auto"/>
        <w:ind w:firstLine="567"/>
        <w:contextualSpacing/>
        <w:jc w:val="both"/>
        <w:outlineLvl w:val="2"/>
        <w:rPr>
          <w:rFonts w:ascii="Times New Roman" w:hAnsi="Times New Roman" w:cs="Times New Roman"/>
          <w:sz w:val="24"/>
          <w:szCs w:val="24"/>
        </w:rPr>
      </w:pPr>
      <w:r>
        <w:rPr>
          <w:rFonts w:ascii="Times New Roman" w:hAnsi="Times New Roman" w:cs="Times New Roman"/>
          <w:sz w:val="24"/>
          <w:szCs w:val="24"/>
        </w:rPr>
        <w:t>Довод представителя ОАО «Саханефтегазсбыт» Смирновой С.В. о том, что в 2012г. Общество имело убыток в размере 125 913 000 рублей исследован, однако не может быть принят, учитывая характер совершенного административного правонарушения – злоупотребление доминирующим положением на товарном рынке - услуги по хранению нефтепродуктов на территории Республики Саха (Якутия), поскольку Обществом не представлены сведения о наличии убытков в разрезе видов деятельности, осуществляемых Обществом.</w:t>
      </w:r>
    </w:p>
    <w:p w:rsidR="008D40AC" w:rsidRDefault="008D40AC" w:rsidP="008D40A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С учетом, изложенного, р</w:t>
      </w:r>
      <w:r w:rsidRPr="00A7661F">
        <w:rPr>
          <w:rFonts w:ascii="Times New Roman" w:hAnsi="Times New Roman"/>
          <w:sz w:val="24"/>
          <w:szCs w:val="24"/>
        </w:rPr>
        <w:t>азмер штрафа за совершение административного правонарушения будет исчисляться в соответствии</w:t>
      </w:r>
      <w:r>
        <w:rPr>
          <w:rFonts w:ascii="Times New Roman" w:hAnsi="Times New Roman"/>
          <w:sz w:val="24"/>
          <w:szCs w:val="24"/>
        </w:rPr>
        <w:t xml:space="preserve"> с</w:t>
      </w:r>
      <w:r w:rsidRPr="00A7661F">
        <w:rPr>
          <w:rFonts w:ascii="Times New Roman" w:hAnsi="Times New Roman"/>
          <w:sz w:val="24"/>
          <w:szCs w:val="24"/>
        </w:rPr>
        <w:t xml:space="preserve"> частью 4</w:t>
      </w:r>
      <w:r>
        <w:rPr>
          <w:rFonts w:ascii="Times New Roman" w:hAnsi="Times New Roman"/>
          <w:sz w:val="24"/>
          <w:szCs w:val="24"/>
        </w:rPr>
        <w:t xml:space="preserve"> примечания </w:t>
      </w:r>
      <w:r w:rsidRPr="00A7661F">
        <w:rPr>
          <w:rFonts w:ascii="Times New Roman" w:hAnsi="Times New Roman"/>
          <w:sz w:val="24"/>
          <w:szCs w:val="24"/>
        </w:rPr>
        <w:t>ст. 14.31 Кодекса РФ об административных правонарушениях</w:t>
      </w:r>
      <w:r>
        <w:rPr>
          <w:rFonts w:ascii="Times New Roman" w:hAnsi="Times New Roman"/>
          <w:sz w:val="24"/>
          <w:szCs w:val="24"/>
        </w:rPr>
        <w:t>:</w:t>
      </w:r>
    </w:p>
    <w:p w:rsidR="008D40AC" w:rsidRDefault="008D40AC" w:rsidP="008D40A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 совершение административного правонарушения, предусмотренного настоящей статьей либо </w:t>
      </w:r>
      <w:hyperlink r:id="rId22" w:history="1">
        <w:r>
          <w:rPr>
            <w:rFonts w:ascii="Times New Roman" w:hAnsi="Times New Roman" w:cs="Times New Roman"/>
            <w:color w:val="0000FF"/>
            <w:sz w:val="24"/>
            <w:szCs w:val="24"/>
          </w:rPr>
          <w:t>статьей 14.31.1</w:t>
        </w:r>
      </w:hyperlink>
      <w:r>
        <w:rPr>
          <w:rFonts w:ascii="Times New Roman" w:hAnsi="Times New Roman" w:cs="Times New Roman"/>
          <w:sz w:val="24"/>
          <w:szCs w:val="24"/>
        </w:rPr>
        <w:t xml:space="preserve">, </w:t>
      </w:r>
      <w:hyperlink r:id="rId23" w:history="1">
        <w:r>
          <w:rPr>
            <w:rFonts w:ascii="Times New Roman" w:hAnsi="Times New Roman" w:cs="Times New Roman"/>
            <w:color w:val="0000FF"/>
            <w:sz w:val="24"/>
            <w:szCs w:val="24"/>
          </w:rPr>
          <w:t>14.31.2</w:t>
        </w:r>
      </w:hyperlink>
      <w:r>
        <w:rPr>
          <w:rFonts w:ascii="Times New Roman" w:hAnsi="Times New Roman" w:cs="Times New Roman"/>
          <w:sz w:val="24"/>
          <w:szCs w:val="24"/>
        </w:rPr>
        <w:t xml:space="preserve">, </w:t>
      </w:r>
      <w:hyperlink r:id="rId24" w:history="1">
        <w:r>
          <w:rPr>
            <w:rFonts w:ascii="Times New Roman" w:hAnsi="Times New Roman" w:cs="Times New Roman"/>
            <w:color w:val="0000FF"/>
            <w:sz w:val="24"/>
            <w:szCs w:val="24"/>
          </w:rPr>
          <w:t>14.32</w:t>
        </w:r>
      </w:hyperlink>
      <w:r>
        <w:rPr>
          <w:rFonts w:ascii="Times New Roman" w:hAnsi="Times New Roman" w:cs="Times New Roman"/>
          <w:sz w:val="24"/>
          <w:szCs w:val="24"/>
        </w:rPr>
        <w:t xml:space="preserve"> или </w:t>
      </w:r>
      <w:hyperlink r:id="rId25" w:history="1">
        <w:r>
          <w:rPr>
            <w:rFonts w:ascii="Times New Roman" w:hAnsi="Times New Roman" w:cs="Times New Roman"/>
            <w:color w:val="0000FF"/>
            <w:sz w:val="24"/>
            <w:szCs w:val="24"/>
          </w:rPr>
          <w:t>14.33</w:t>
        </w:r>
      </w:hyperlink>
      <w:r>
        <w:rPr>
          <w:rFonts w:ascii="Times New Roman" w:hAnsi="Times New Roman" w:cs="Times New Roman"/>
          <w:sz w:val="24"/>
          <w:szCs w:val="24"/>
        </w:rP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8D40AC" w:rsidRDefault="008D40AC" w:rsidP="008D40AC">
      <w:pPr>
        <w:autoSpaceDE w:val="0"/>
        <w:autoSpaceDN w:val="0"/>
        <w:adjustRightInd w:val="0"/>
        <w:spacing w:after="0" w:line="240" w:lineRule="auto"/>
        <w:ind w:firstLine="540"/>
        <w:contextualSpacing/>
        <w:jc w:val="both"/>
        <w:outlineLvl w:val="2"/>
        <w:rPr>
          <w:rFonts w:ascii="Times New Roman" w:eastAsia="Times New Roman" w:hAnsi="Times New Roman"/>
          <w:sz w:val="24"/>
          <w:szCs w:val="24"/>
          <w:lang w:eastAsia="ru-RU"/>
        </w:rPr>
      </w:pPr>
      <w:r w:rsidRPr="00A7661F">
        <w:rPr>
          <w:rFonts w:ascii="Times New Roman" w:eastAsia="Times New Roman" w:hAnsi="Times New Roman"/>
          <w:sz w:val="24"/>
          <w:szCs w:val="24"/>
          <w:lang w:eastAsia="ru-RU"/>
        </w:rPr>
        <w:t>Руководствуясь статьями 3.5, 4.1, 14.31, 23.48, 29.9, 29.10 Кодекса РФ об административных правонарушениях,</w:t>
      </w:r>
    </w:p>
    <w:p w:rsidR="008D40AC" w:rsidRPr="00A7661F" w:rsidRDefault="008D40AC" w:rsidP="008D40AC">
      <w:pPr>
        <w:autoSpaceDE w:val="0"/>
        <w:autoSpaceDN w:val="0"/>
        <w:adjustRightInd w:val="0"/>
        <w:spacing w:after="0" w:line="240" w:lineRule="auto"/>
        <w:contextualSpacing/>
        <w:jc w:val="center"/>
        <w:outlineLvl w:val="2"/>
        <w:rPr>
          <w:rFonts w:ascii="Times New Roman" w:eastAsia="Times New Roman" w:hAnsi="Times New Roman"/>
          <w:sz w:val="24"/>
          <w:szCs w:val="24"/>
          <w:lang w:eastAsia="ru-RU"/>
        </w:rPr>
      </w:pPr>
      <w:r w:rsidRPr="00A7661F">
        <w:rPr>
          <w:rFonts w:ascii="Times New Roman" w:eastAsia="Times New Roman" w:hAnsi="Times New Roman"/>
          <w:sz w:val="24"/>
          <w:szCs w:val="24"/>
          <w:lang w:eastAsia="ru-RU"/>
        </w:rPr>
        <w:t>п о с т а н о в и л:</w:t>
      </w:r>
    </w:p>
    <w:p w:rsidR="008D40AC" w:rsidRDefault="008D40AC" w:rsidP="008D40AC">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p>
    <w:p w:rsidR="008D40AC" w:rsidRDefault="008D40AC" w:rsidP="008D40AC">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A7661F">
        <w:rPr>
          <w:rFonts w:ascii="Times New Roman" w:eastAsia="Times New Roman" w:hAnsi="Times New Roman"/>
          <w:sz w:val="24"/>
          <w:szCs w:val="24"/>
          <w:lang w:eastAsia="ru-RU"/>
        </w:rPr>
        <w:t>Признать ОАО «</w:t>
      </w:r>
      <w:r>
        <w:rPr>
          <w:rFonts w:ascii="Times New Roman" w:eastAsia="Times New Roman" w:hAnsi="Times New Roman"/>
          <w:sz w:val="24"/>
          <w:szCs w:val="24"/>
          <w:lang w:eastAsia="ru-RU"/>
        </w:rPr>
        <w:t xml:space="preserve">Саханефтегазсбыт» </w:t>
      </w:r>
      <w:r w:rsidRPr="00A7661F">
        <w:rPr>
          <w:rFonts w:ascii="Times New Roman" w:eastAsia="Times New Roman" w:hAnsi="Times New Roman"/>
          <w:sz w:val="24"/>
          <w:szCs w:val="24"/>
          <w:lang w:eastAsia="ru-RU"/>
        </w:rPr>
        <w:t xml:space="preserve">виновным в совершении административного правонарушения, предусмотренного частью 1 статьи 14.31 Кодекса РФ об административных правонарушениях и назначить административное наказание в виде штрафа </w:t>
      </w:r>
      <w:r>
        <w:rPr>
          <w:rFonts w:ascii="Times New Roman" w:eastAsia="Times New Roman" w:hAnsi="Times New Roman"/>
          <w:sz w:val="24"/>
          <w:szCs w:val="24"/>
          <w:lang w:eastAsia="ru-RU"/>
        </w:rPr>
        <w:t xml:space="preserve">в размере 737 тыс. 500 рублей. </w:t>
      </w:r>
    </w:p>
    <w:p w:rsidR="008D40AC" w:rsidRDefault="008D40AC" w:rsidP="008D40AC">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Формула расчета:</w:t>
      </w:r>
    </w:p>
    <w:p w:rsidR="008D40AC" w:rsidRPr="00A7661F" w:rsidRDefault="008D40AC" w:rsidP="008D40AC">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300 т.р.+ 1/2 (1000 т.р.-300 т.р.)+1/8 (1000 т.р.-300 т.р.)+ 1/8 (1000 т.р.-300 т.р.) -1/8 (1000 т.р.-300 т.р.) =737 т.500 р.</w:t>
      </w:r>
    </w:p>
    <w:p w:rsidR="008D40AC" w:rsidRDefault="008D40AC" w:rsidP="008D40AC">
      <w:pPr>
        <w:autoSpaceDE w:val="0"/>
        <w:autoSpaceDN w:val="0"/>
        <w:adjustRightInd w:val="0"/>
        <w:spacing w:after="0" w:line="240" w:lineRule="auto"/>
        <w:ind w:firstLine="540"/>
        <w:jc w:val="both"/>
        <w:rPr>
          <w:rFonts w:ascii="Times New Roman" w:hAnsi="Times New Roman" w:cs="Times New Roman"/>
          <w:sz w:val="24"/>
          <w:szCs w:val="24"/>
        </w:rPr>
      </w:pPr>
      <w:r w:rsidRPr="00A7661F">
        <w:rPr>
          <w:rFonts w:ascii="Times New Roman" w:hAnsi="Times New Roman"/>
          <w:sz w:val="24"/>
          <w:szCs w:val="24"/>
        </w:rPr>
        <w:t xml:space="preserve">Согласно ч.1. ст.32.2 Кодекса РФ об административных правонарушениях </w:t>
      </w:r>
      <w:r>
        <w:rPr>
          <w:rFonts w:ascii="Times New Roman" w:hAnsi="Times New Roman" w:cs="Times New Roman"/>
          <w:sz w:val="24"/>
          <w:szCs w:val="24"/>
        </w:rPr>
        <w:t xml:space="preserve">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26" w:history="1">
        <w:r>
          <w:rPr>
            <w:rFonts w:ascii="Times New Roman" w:hAnsi="Times New Roman" w:cs="Times New Roman"/>
            <w:color w:val="0000FF"/>
            <w:sz w:val="24"/>
            <w:szCs w:val="24"/>
          </w:rPr>
          <w:t>статьей 31.5</w:t>
        </w:r>
      </w:hyperlink>
      <w:r>
        <w:rPr>
          <w:rFonts w:ascii="Times New Roman" w:hAnsi="Times New Roman" w:cs="Times New Roman"/>
          <w:sz w:val="24"/>
          <w:szCs w:val="24"/>
        </w:rPr>
        <w:t xml:space="preserve"> настоящего Кодекса.</w:t>
      </w:r>
    </w:p>
    <w:p w:rsidR="008D40AC" w:rsidRPr="00A7661F" w:rsidRDefault="008D40AC" w:rsidP="008D40AC">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Суммы штрафов зачисляются в бюджет по следующим реквизитам:</w:t>
      </w:r>
    </w:p>
    <w:p w:rsidR="008D40AC" w:rsidRPr="00A7661F" w:rsidRDefault="008D40AC" w:rsidP="008D40AC">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Получатель: Управление Федерального казначейства по РС(Я) (Управление Федеральной антимонопольной службы по РС(Я)).</w:t>
      </w:r>
    </w:p>
    <w:p w:rsidR="008D40AC" w:rsidRPr="00A7661F" w:rsidRDefault="008D40AC" w:rsidP="008D40AC">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Назначение платежа: 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регулировании цен (тарифов), налагаемые федеральными органами государственной власти.</w:t>
      </w:r>
    </w:p>
    <w:p w:rsidR="008D40AC" w:rsidRPr="00A7661F" w:rsidRDefault="008D40AC" w:rsidP="008D40AC">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ИНН 1435137122</w:t>
      </w:r>
    </w:p>
    <w:p w:rsidR="008D40AC" w:rsidRPr="00A7661F" w:rsidRDefault="008D40AC" w:rsidP="008D40AC">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КПП 143501001</w:t>
      </w:r>
    </w:p>
    <w:p w:rsidR="008D40AC" w:rsidRPr="00A7661F" w:rsidRDefault="008D40AC" w:rsidP="008D40AC">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 xml:space="preserve">КБК 161 1 16 02010 01 6000140 </w:t>
      </w:r>
    </w:p>
    <w:p w:rsidR="008D40AC" w:rsidRPr="00A7661F" w:rsidRDefault="008D40AC" w:rsidP="008D40AC">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lastRenderedPageBreak/>
        <w:t>ОКАТО 98401000000</w:t>
      </w:r>
    </w:p>
    <w:p w:rsidR="008D40AC" w:rsidRPr="00A7661F" w:rsidRDefault="008D40AC" w:rsidP="008D40AC">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р/с 40101810100000010002</w:t>
      </w:r>
    </w:p>
    <w:p w:rsidR="008D40AC" w:rsidRPr="00A7661F" w:rsidRDefault="008D40AC" w:rsidP="008D40AC">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БИК 049805001</w:t>
      </w:r>
    </w:p>
    <w:p w:rsidR="008D40AC" w:rsidRPr="00A7661F" w:rsidRDefault="008D40AC" w:rsidP="008D40AC">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Банк получателя: ГРКЦ НБ Республики Саха (Якутия) Банка России г. Якутск</w:t>
      </w:r>
    </w:p>
    <w:p w:rsidR="008D40AC" w:rsidRPr="00A7661F" w:rsidRDefault="008D40AC" w:rsidP="008D40AC">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В трехдневный срок со дня уплаты штрафа ОАО «</w:t>
      </w:r>
      <w:r w:rsidR="008D31F2">
        <w:rPr>
          <w:rFonts w:ascii="Times New Roman" w:hAnsi="Times New Roman"/>
          <w:sz w:val="24"/>
          <w:szCs w:val="24"/>
        </w:rPr>
        <w:t>Саханефтегазсбыт</w:t>
      </w:r>
      <w:r w:rsidRPr="00A7661F">
        <w:rPr>
          <w:rFonts w:ascii="Times New Roman" w:hAnsi="Times New Roman"/>
          <w:sz w:val="24"/>
          <w:szCs w:val="24"/>
        </w:rPr>
        <w:t xml:space="preserve">» надлежит представить в Управление Федеральной антимонопольной службы по Республике Саха (Якутия) надлежащим образом заверенные копии платежных документов. </w:t>
      </w:r>
    </w:p>
    <w:p w:rsidR="008D40AC" w:rsidRPr="00A7661F" w:rsidRDefault="008D40AC" w:rsidP="008D40AC">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 xml:space="preserve">Постановление по делу об административном правонарушении может быть обжаловано вышестоящему должностному лицу либо в судебном порядке в течение десяти суток со дня вручения или получения копии постановления (ст.30.1, 30.3 Кодекса РФ об административных правонарушениях). </w:t>
      </w:r>
    </w:p>
    <w:p w:rsidR="008D40AC" w:rsidRPr="00A7661F" w:rsidRDefault="008D40AC" w:rsidP="008D40AC">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Постановление вступило в законную силу «___» _______________ 201</w:t>
      </w:r>
      <w:r>
        <w:rPr>
          <w:rFonts w:ascii="Times New Roman" w:hAnsi="Times New Roman"/>
          <w:sz w:val="24"/>
          <w:szCs w:val="24"/>
        </w:rPr>
        <w:t>3</w:t>
      </w:r>
      <w:r w:rsidRPr="00A7661F">
        <w:rPr>
          <w:rFonts w:ascii="Times New Roman" w:hAnsi="Times New Roman"/>
          <w:sz w:val="24"/>
          <w:szCs w:val="24"/>
        </w:rPr>
        <w:t xml:space="preserve"> г. </w:t>
      </w:r>
    </w:p>
    <w:p w:rsidR="008D40AC" w:rsidRPr="00A7661F" w:rsidRDefault="008D40AC" w:rsidP="008D40AC">
      <w:pPr>
        <w:autoSpaceDE w:val="0"/>
        <w:autoSpaceDN w:val="0"/>
        <w:adjustRightInd w:val="0"/>
        <w:spacing w:after="0" w:line="240" w:lineRule="auto"/>
        <w:contextualSpacing/>
        <w:jc w:val="both"/>
        <w:rPr>
          <w:rFonts w:ascii="Times New Roman" w:hAnsi="Times New Roman"/>
          <w:sz w:val="24"/>
          <w:szCs w:val="24"/>
        </w:rPr>
      </w:pPr>
    </w:p>
    <w:p w:rsidR="008D40AC" w:rsidRPr="00083D37" w:rsidRDefault="008D40AC" w:rsidP="008D40AC">
      <w:pPr>
        <w:spacing w:after="0" w:line="240" w:lineRule="auto"/>
        <w:jc w:val="both"/>
        <w:rPr>
          <w:rFonts w:ascii="Times New Roman" w:hAnsi="Times New Roman"/>
          <w:sz w:val="24"/>
          <w:szCs w:val="24"/>
        </w:rPr>
      </w:pPr>
    </w:p>
    <w:p w:rsidR="008D40AC" w:rsidRDefault="008D40AC" w:rsidP="008D40AC">
      <w:pPr>
        <w:spacing w:after="0" w:line="240" w:lineRule="auto"/>
        <w:jc w:val="both"/>
        <w:rPr>
          <w:rFonts w:ascii="Times New Roman" w:hAnsi="Times New Roman"/>
          <w:sz w:val="24"/>
          <w:szCs w:val="24"/>
        </w:rPr>
      </w:pPr>
    </w:p>
    <w:p w:rsidR="008D40AC" w:rsidRDefault="008D40AC" w:rsidP="008D40AC">
      <w:pPr>
        <w:spacing w:after="0" w:line="240" w:lineRule="auto"/>
        <w:jc w:val="both"/>
        <w:rPr>
          <w:rFonts w:ascii="Times New Roman" w:hAnsi="Times New Roman"/>
          <w:sz w:val="24"/>
          <w:szCs w:val="24"/>
        </w:rPr>
      </w:pPr>
    </w:p>
    <w:p w:rsidR="008D40AC" w:rsidRDefault="008D40AC" w:rsidP="008D40AC">
      <w:pPr>
        <w:spacing w:after="0" w:line="240" w:lineRule="auto"/>
        <w:jc w:val="both"/>
        <w:rPr>
          <w:lang w:eastAsia="ru-RU"/>
        </w:rPr>
      </w:pPr>
      <w:r>
        <w:rPr>
          <w:rFonts w:ascii="Times New Roman" w:hAnsi="Times New Roman"/>
          <w:sz w:val="24"/>
          <w:szCs w:val="24"/>
        </w:rPr>
        <w:t xml:space="preserve"> Заместитель руководителя                                                                               О.А.Ярыгина</w:t>
      </w:r>
      <w:r w:rsidRPr="00083D37">
        <w:rPr>
          <w:rFonts w:ascii="Times New Roman" w:hAnsi="Times New Roman"/>
          <w:sz w:val="24"/>
          <w:szCs w:val="24"/>
        </w:rPr>
        <w:t xml:space="preserve"> </w:t>
      </w:r>
    </w:p>
    <w:p w:rsidR="008D40AC" w:rsidRDefault="008D40AC" w:rsidP="008D40AC"/>
    <w:p w:rsidR="008D40AC" w:rsidRDefault="008D40AC" w:rsidP="008D40AC"/>
    <w:p w:rsidR="008D40AC" w:rsidRDefault="008D40AC" w:rsidP="008D40AC"/>
    <w:p w:rsidR="008D40AC" w:rsidRDefault="008D40AC" w:rsidP="008D40AC"/>
    <w:p w:rsidR="008D40AC" w:rsidRDefault="008D40AC" w:rsidP="008D40AC"/>
    <w:p w:rsidR="008D40AC" w:rsidRDefault="008D40AC" w:rsidP="008D40AC"/>
    <w:p w:rsidR="00E0567D" w:rsidRDefault="00E0567D"/>
    <w:sectPr w:rsidR="00E0567D" w:rsidSect="004257C0">
      <w:foot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D8C" w:rsidRDefault="006D5D8C" w:rsidP="008D40AC">
      <w:pPr>
        <w:spacing w:after="0" w:line="240" w:lineRule="auto"/>
      </w:pPr>
      <w:r>
        <w:separator/>
      </w:r>
    </w:p>
  </w:endnote>
  <w:endnote w:type="continuationSeparator" w:id="1">
    <w:p w:rsidR="006D5D8C" w:rsidRDefault="006D5D8C" w:rsidP="008D4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1923"/>
      <w:docPartObj>
        <w:docPartGallery w:val="Page Numbers (Bottom of Page)"/>
        <w:docPartUnique/>
      </w:docPartObj>
    </w:sdtPr>
    <w:sdtContent>
      <w:p w:rsidR="008D31F2" w:rsidRDefault="008D31F2">
        <w:pPr>
          <w:pStyle w:val="a9"/>
          <w:jc w:val="right"/>
        </w:pPr>
        <w:fldSimple w:instr=" PAGE   \* MERGEFORMAT ">
          <w:r w:rsidR="00FF4987">
            <w:rPr>
              <w:noProof/>
            </w:rPr>
            <w:t>23</w:t>
          </w:r>
        </w:fldSimple>
      </w:p>
    </w:sdtContent>
  </w:sdt>
  <w:p w:rsidR="008D31F2" w:rsidRDefault="008D31F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D8C" w:rsidRDefault="006D5D8C" w:rsidP="008D40AC">
      <w:pPr>
        <w:spacing w:after="0" w:line="240" w:lineRule="auto"/>
      </w:pPr>
      <w:r>
        <w:separator/>
      </w:r>
    </w:p>
  </w:footnote>
  <w:footnote w:type="continuationSeparator" w:id="1">
    <w:p w:rsidR="006D5D8C" w:rsidRDefault="006D5D8C" w:rsidP="008D40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225220"/>
    <w:lvl w:ilvl="0">
      <w:numFmt w:val="bullet"/>
      <w:lvlText w:val="*"/>
      <w:lvlJc w:val="left"/>
    </w:lvl>
  </w:abstractNum>
  <w:abstractNum w:abstractNumId="1">
    <w:nsid w:val="0BA27CD1"/>
    <w:multiLevelType w:val="multilevel"/>
    <w:tmpl w:val="6C22BD0C"/>
    <w:lvl w:ilvl="0">
      <w:start w:val="1"/>
      <w:numFmt w:val="decimal"/>
      <w:lvlText w:val="%1."/>
      <w:lvlJc w:val="left"/>
      <w:pPr>
        <w:ind w:left="106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nsid w:val="0F0022E3"/>
    <w:multiLevelType w:val="hybridMultilevel"/>
    <w:tmpl w:val="71B49B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F130941"/>
    <w:multiLevelType w:val="hybridMultilevel"/>
    <w:tmpl w:val="EE0E167C"/>
    <w:lvl w:ilvl="0" w:tplc="87C4D09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74903EF"/>
    <w:multiLevelType w:val="hybridMultilevel"/>
    <w:tmpl w:val="0C14C178"/>
    <w:lvl w:ilvl="0" w:tplc="3102A5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DF0A82"/>
    <w:multiLevelType w:val="hybridMultilevel"/>
    <w:tmpl w:val="8A6CE68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2B4F1FD2"/>
    <w:multiLevelType w:val="hybridMultilevel"/>
    <w:tmpl w:val="67E07312"/>
    <w:lvl w:ilvl="0" w:tplc="9216E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51113F"/>
    <w:multiLevelType w:val="hybridMultilevel"/>
    <w:tmpl w:val="A5BA4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8D1EC8"/>
    <w:multiLevelType w:val="hybridMultilevel"/>
    <w:tmpl w:val="5E823B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C2622B"/>
    <w:multiLevelType w:val="hybridMultilevel"/>
    <w:tmpl w:val="9CB07A36"/>
    <w:lvl w:ilvl="0" w:tplc="B6E85210">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594652"/>
    <w:multiLevelType w:val="hybridMultilevel"/>
    <w:tmpl w:val="1856F3C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3CE4C0D"/>
    <w:multiLevelType w:val="hybridMultilevel"/>
    <w:tmpl w:val="D3C81D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4F21FD3"/>
    <w:multiLevelType w:val="hybridMultilevel"/>
    <w:tmpl w:val="65DACCD2"/>
    <w:lvl w:ilvl="0" w:tplc="C9F436EC">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577A3620"/>
    <w:multiLevelType w:val="hybridMultilevel"/>
    <w:tmpl w:val="333AA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8E7428"/>
    <w:multiLevelType w:val="hybridMultilevel"/>
    <w:tmpl w:val="C3AC1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A13AC4"/>
    <w:multiLevelType w:val="hybridMultilevel"/>
    <w:tmpl w:val="81C49A66"/>
    <w:lvl w:ilvl="0" w:tplc="1742C894">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67E228E1"/>
    <w:multiLevelType w:val="hybridMultilevel"/>
    <w:tmpl w:val="2A08FF56"/>
    <w:lvl w:ilvl="0" w:tplc="6CDA7D38">
      <w:start w:val="1"/>
      <w:numFmt w:val="decimal"/>
      <w:lvlText w:val="%1."/>
      <w:lvlJc w:val="left"/>
      <w:pPr>
        <w:tabs>
          <w:tab w:val="num" w:pos="1110"/>
        </w:tabs>
        <w:ind w:left="1110" w:hanging="405"/>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6BFF604E"/>
    <w:multiLevelType w:val="hybridMultilevel"/>
    <w:tmpl w:val="FB42C762"/>
    <w:lvl w:ilvl="0" w:tplc="D3120B8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769D48EA"/>
    <w:multiLevelType w:val="hybridMultilevel"/>
    <w:tmpl w:val="53C40514"/>
    <w:lvl w:ilvl="0" w:tplc="D394916C">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77014476"/>
    <w:multiLevelType w:val="hybridMultilevel"/>
    <w:tmpl w:val="17B4BD76"/>
    <w:lvl w:ilvl="0" w:tplc="2B92E07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77A00470"/>
    <w:multiLevelType w:val="multilevel"/>
    <w:tmpl w:val="45D697B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B5B173C"/>
    <w:multiLevelType w:val="hybridMultilevel"/>
    <w:tmpl w:val="3BAC91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BE5170"/>
    <w:multiLevelType w:val="multilevel"/>
    <w:tmpl w:val="D946EE8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8"/>
  </w:num>
  <w:num w:numId="2">
    <w:abstractNumId w:val="15"/>
  </w:num>
  <w:num w:numId="3">
    <w:abstractNumId w:val="17"/>
  </w:num>
  <w:num w:numId="4">
    <w:abstractNumId w:val="19"/>
  </w:num>
  <w:num w:numId="5">
    <w:abstractNumId w:val="18"/>
  </w:num>
  <w:num w:numId="6">
    <w:abstractNumId w:val="16"/>
  </w:num>
  <w:num w:numId="7">
    <w:abstractNumId w:val="3"/>
  </w:num>
  <w:num w:numId="8">
    <w:abstractNumId w:val="12"/>
  </w:num>
  <w:num w:numId="9">
    <w:abstractNumId w:val="11"/>
  </w:num>
  <w:num w:numId="10">
    <w:abstractNumId w:val="2"/>
  </w:num>
  <w:num w:numId="11">
    <w:abstractNumId w:val="5"/>
  </w:num>
  <w:num w:numId="12">
    <w:abstractNumId w:val="1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2"/>
  </w:num>
  <w:num w:numId="16">
    <w:abstractNumId w:val="1"/>
  </w:num>
  <w:num w:numId="17">
    <w:abstractNumId w:val="21"/>
  </w:num>
  <w:num w:numId="18">
    <w:abstractNumId w:val="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 w:numId="2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567D"/>
    <w:rsid w:val="004257C0"/>
    <w:rsid w:val="005C383B"/>
    <w:rsid w:val="006D5D8C"/>
    <w:rsid w:val="007F521A"/>
    <w:rsid w:val="008D31F2"/>
    <w:rsid w:val="008D40AC"/>
    <w:rsid w:val="00E0567D"/>
    <w:rsid w:val="00E244A8"/>
    <w:rsid w:val="00FF4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6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56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E0567D"/>
    <w:pPr>
      <w:spacing w:after="0" w:line="240" w:lineRule="auto"/>
      <w:ind w:firstLine="709"/>
      <w:jc w:val="both"/>
    </w:pPr>
    <w:rPr>
      <w:rFonts w:ascii="Tahoma" w:eastAsia="Calibri" w:hAnsi="Tahoma" w:cs="Tahoma"/>
      <w:sz w:val="16"/>
      <w:szCs w:val="16"/>
    </w:rPr>
  </w:style>
  <w:style w:type="character" w:customStyle="1" w:styleId="a5">
    <w:name w:val="Текст выноски Знак"/>
    <w:basedOn w:val="a0"/>
    <w:link w:val="a4"/>
    <w:uiPriority w:val="99"/>
    <w:semiHidden/>
    <w:rsid w:val="00E0567D"/>
    <w:rPr>
      <w:rFonts w:ascii="Tahoma" w:eastAsia="Calibri" w:hAnsi="Tahoma" w:cs="Tahoma"/>
      <w:sz w:val="16"/>
      <w:szCs w:val="16"/>
    </w:rPr>
  </w:style>
  <w:style w:type="character" w:styleId="a6">
    <w:name w:val="Hyperlink"/>
    <w:basedOn w:val="a0"/>
    <w:uiPriority w:val="99"/>
    <w:rsid w:val="00E0567D"/>
    <w:rPr>
      <w:color w:val="0000FF"/>
      <w:u w:val="single"/>
    </w:rPr>
  </w:style>
  <w:style w:type="paragraph" w:customStyle="1" w:styleId="ConsNonformat">
    <w:name w:val="ConsNonformat"/>
    <w:rsid w:val="00E0567D"/>
    <w:pPr>
      <w:widowControl w:val="0"/>
      <w:suppressAutoHyphens/>
      <w:spacing w:after="0" w:line="240" w:lineRule="auto"/>
    </w:pPr>
    <w:rPr>
      <w:rFonts w:ascii="Courier New" w:eastAsia="Arial" w:hAnsi="Courier New" w:cs="Times New Roman"/>
      <w:sz w:val="20"/>
      <w:szCs w:val="20"/>
      <w:lang w:eastAsia="ar-SA"/>
    </w:rPr>
  </w:style>
  <w:style w:type="paragraph" w:styleId="a7">
    <w:name w:val="Body Text"/>
    <w:basedOn w:val="a"/>
    <w:link w:val="a8"/>
    <w:rsid w:val="00E0567D"/>
    <w:pPr>
      <w:spacing w:after="120"/>
    </w:pPr>
    <w:rPr>
      <w:rFonts w:ascii="Calibri" w:eastAsia="Calibri" w:hAnsi="Calibri" w:cs="Times New Roman"/>
    </w:rPr>
  </w:style>
  <w:style w:type="character" w:customStyle="1" w:styleId="a8">
    <w:name w:val="Основной текст Знак"/>
    <w:basedOn w:val="a0"/>
    <w:link w:val="a7"/>
    <w:rsid w:val="00E0567D"/>
    <w:rPr>
      <w:rFonts w:ascii="Calibri" w:eastAsia="Calibri" w:hAnsi="Calibri" w:cs="Times New Roman"/>
    </w:rPr>
  </w:style>
  <w:style w:type="paragraph" w:styleId="a9">
    <w:name w:val="footer"/>
    <w:basedOn w:val="a"/>
    <w:link w:val="aa"/>
    <w:uiPriority w:val="99"/>
    <w:rsid w:val="00E0567D"/>
    <w:pPr>
      <w:tabs>
        <w:tab w:val="center" w:pos="4677"/>
        <w:tab w:val="right" w:pos="9355"/>
      </w:tabs>
      <w:spacing w:after="0" w:line="240" w:lineRule="auto"/>
      <w:ind w:firstLine="709"/>
      <w:jc w:val="both"/>
    </w:pPr>
    <w:rPr>
      <w:rFonts w:ascii="Times New Roman" w:eastAsia="Calibri" w:hAnsi="Times New Roman" w:cs="Times New Roman"/>
      <w:sz w:val="24"/>
      <w:szCs w:val="24"/>
    </w:rPr>
  </w:style>
  <w:style w:type="character" w:customStyle="1" w:styleId="aa">
    <w:name w:val="Нижний колонтитул Знак"/>
    <w:basedOn w:val="a0"/>
    <w:link w:val="a9"/>
    <w:uiPriority w:val="99"/>
    <w:rsid w:val="00E0567D"/>
    <w:rPr>
      <w:rFonts w:ascii="Times New Roman" w:eastAsia="Calibri" w:hAnsi="Times New Roman" w:cs="Times New Roman"/>
      <w:sz w:val="24"/>
      <w:szCs w:val="24"/>
    </w:rPr>
  </w:style>
  <w:style w:type="character" w:styleId="ab">
    <w:name w:val="page number"/>
    <w:basedOn w:val="a0"/>
    <w:rsid w:val="00E0567D"/>
  </w:style>
  <w:style w:type="paragraph" w:styleId="ac">
    <w:name w:val="Normal (Web)"/>
    <w:basedOn w:val="a"/>
    <w:rsid w:val="00E05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E0567D"/>
    <w:pPr>
      <w:spacing w:after="0" w:line="240" w:lineRule="auto"/>
      <w:ind w:left="720" w:firstLine="709"/>
      <w:contextualSpacing/>
      <w:jc w:val="both"/>
    </w:pPr>
    <w:rPr>
      <w:rFonts w:ascii="Times New Roman" w:eastAsia="Calibri" w:hAnsi="Times New Roman" w:cs="Times New Roman"/>
      <w:sz w:val="24"/>
      <w:szCs w:val="24"/>
    </w:rPr>
  </w:style>
  <w:style w:type="character" w:customStyle="1" w:styleId="FontStyle15">
    <w:name w:val="Font Style15"/>
    <w:basedOn w:val="a0"/>
    <w:uiPriority w:val="99"/>
    <w:rsid w:val="00E0567D"/>
    <w:rPr>
      <w:rFonts w:ascii="Times New Roman" w:hAnsi="Times New Roman" w:cs="Times New Roman"/>
      <w:sz w:val="22"/>
      <w:szCs w:val="22"/>
    </w:rPr>
  </w:style>
  <w:style w:type="character" w:customStyle="1" w:styleId="FontStyle12">
    <w:name w:val="Font Style12"/>
    <w:basedOn w:val="a0"/>
    <w:uiPriority w:val="99"/>
    <w:rsid w:val="00E0567D"/>
    <w:rPr>
      <w:rFonts w:ascii="Times New Roman" w:hAnsi="Times New Roman" w:cs="Times New Roman"/>
      <w:sz w:val="22"/>
      <w:szCs w:val="22"/>
    </w:rPr>
  </w:style>
  <w:style w:type="paragraph" w:customStyle="1" w:styleId="Style3">
    <w:name w:val="Style3"/>
    <w:basedOn w:val="a"/>
    <w:uiPriority w:val="99"/>
    <w:rsid w:val="00E0567D"/>
    <w:pPr>
      <w:widowControl w:val="0"/>
      <w:autoSpaceDE w:val="0"/>
      <w:autoSpaceDN w:val="0"/>
      <w:adjustRightInd w:val="0"/>
      <w:spacing w:after="0" w:line="286" w:lineRule="exact"/>
      <w:ind w:firstLine="701"/>
      <w:jc w:val="both"/>
    </w:pPr>
    <w:rPr>
      <w:rFonts w:ascii="Times New Roman" w:eastAsia="Times New Roman" w:hAnsi="Times New Roman" w:cs="Times New Roman"/>
      <w:sz w:val="24"/>
      <w:szCs w:val="24"/>
      <w:lang w:eastAsia="ru-RU"/>
    </w:rPr>
  </w:style>
  <w:style w:type="character" w:styleId="ae">
    <w:name w:val="Strong"/>
    <w:basedOn w:val="a0"/>
    <w:qFormat/>
    <w:rsid w:val="00E0567D"/>
    <w:rPr>
      <w:b/>
      <w:bCs/>
    </w:rPr>
  </w:style>
  <w:style w:type="paragraph" w:customStyle="1" w:styleId="ConsPlusNonformat">
    <w:name w:val="ConsPlusNonformat"/>
    <w:uiPriority w:val="99"/>
    <w:rsid w:val="00E0567D"/>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E056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 Spacing"/>
    <w:uiPriority w:val="1"/>
    <w:qFormat/>
    <w:rsid w:val="00E0567D"/>
    <w:pPr>
      <w:widowControl w:val="0"/>
      <w:suppressAutoHyphens/>
      <w:spacing w:after="0" w:line="240" w:lineRule="auto"/>
    </w:pPr>
    <w:rPr>
      <w:rFonts w:ascii="Times New Roman" w:eastAsia="Arial Unicode MS" w:hAnsi="Times New Roman" w:cs="Tahoma"/>
      <w:color w:val="000000"/>
      <w:sz w:val="24"/>
      <w:szCs w:val="24"/>
      <w:lang w:val="en-US"/>
    </w:rPr>
  </w:style>
  <w:style w:type="paragraph" w:styleId="af0">
    <w:name w:val="header"/>
    <w:basedOn w:val="a"/>
    <w:link w:val="af1"/>
    <w:uiPriority w:val="99"/>
    <w:unhideWhenUsed/>
    <w:rsid w:val="00E0567D"/>
    <w:pPr>
      <w:tabs>
        <w:tab w:val="center" w:pos="4677"/>
        <w:tab w:val="right" w:pos="9355"/>
      </w:tabs>
      <w:spacing w:after="0" w:line="240" w:lineRule="auto"/>
    </w:pPr>
    <w:rPr>
      <w:rFonts w:ascii="Calibri" w:eastAsia="Times New Roman" w:hAnsi="Calibri" w:cs="Times New Roman"/>
      <w:lang w:eastAsia="ru-RU"/>
    </w:rPr>
  </w:style>
  <w:style w:type="character" w:customStyle="1" w:styleId="af1">
    <w:name w:val="Верхний колонтитул Знак"/>
    <w:basedOn w:val="a0"/>
    <w:link w:val="af0"/>
    <w:uiPriority w:val="99"/>
    <w:rsid w:val="00E0567D"/>
    <w:rPr>
      <w:rFonts w:ascii="Calibri" w:eastAsia="Times New Roman" w:hAnsi="Calibri" w:cs="Times New Roman"/>
      <w:lang w:eastAsia="ru-RU"/>
    </w:rPr>
  </w:style>
  <w:style w:type="paragraph" w:customStyle="1" w:styleId="Style1">
    <w:name w:val="Style1"/>
    <w:basedOn w:val="a"/>
    <w:uiPriority w:val="99"/>
    <w:rsid w:val="00E0567D"/>
    <w:pPr>
      <w:widowControl w:val="0"/>
      <w:autoSpaceDE w:val="0"/>
      <w:autoSpaceDN w:val="0"/>
      <w:adjustRightInd w:val="0"/>
      <w:spacing w:after="0" w:line="274" w:lineRule="exact"/>
      <w:ind w:firstLine="264"/>
    </w:pPr>
    <w:rPr>
      <w:rFonts w:ascii="Times New Roman" w:eastAsia="Times New Roman" w:hAnsi="Times New Roman" w:cs="Times New Roman"/>
      <w:sz w:val="24"/>
      <w:szCs w:val="24"/>
      <w:lang w:eastAsia="ru-RU"/>
    </w:rPr>
  </w:style>
  <w:style w:type="paragraph" w:customStyle="1" w:styleId="Style2">
    <w:name w:val="Style2"/>
    <w:basedOn w:val="a"/>
    <w:uiPriority w:val="99"/>
    <w:rsid w:val="00E0567D"/>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E0567D"/>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E0567D"/>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E0567D"/>
    <w:rPr>
      <w:rFonts w:ascii="Times New Roman" w:hAnsi="Times New Roman" w:cs="Times New Roman"/>
      <w:spacing w:val="10"/>
      <w:sz w:val="20"/>
      <w:szCs w:val="20"/>
    </w:rPr>
  </w:style>
  <w:style w:type="character" w:customStyle="1" w:styleId="FontStyle13">
    <w:name w:val="Font Style13"/>
    <w:basedOn w:val="a0"/>
    <w:uiPriority w:val="99"/>
    <w:rsid w:val="00E0567D"/>
    <w:rPr>
      <w:rFonts w:ascii="Times New Roman" w:hAnsi="Times New Roman" w:cs="Times New Roman"/>
      <w:spacing w:val="20"/>
      <w:sz w:val="20"/>
      <w:szCs w:val="20"/>
    </w:rPr>
  </w:style>
  <w:style w:type="character" w:customStyle="1" w:styleId="FontStyle14">
    <w:name w:val="Font Style14"/>
    <w:basedOn w:val="a0"/>
    <w:uiPriority w:val="99"/>
    <w:rsid w:val="00E0567D"/>
    <w:rPr>
      <w:rFonts w:ascii="Candara" w:hAnsi="Candara" w:cs="Candara"/>
      <w:spacing w:val="10"/>
      <w:sz w:val="14"/>
      <w:szCs w:val="14"/>
    </w:rPr>
  </w:style>
  <w:style w:type="paragraph" w:customStyle="1" w:styleId="31">
    <w:name w:val="Основной текст с отступом 31"/>
    <w:basedOn w:val="a"/>
    <w:rsid w:val="00E0567D"/>
    <w:pPr>
      <w:widowControl w:val="0"/>
      <w:suppressAutoHyphens/>
      <w:spacing w:before="120" w:after="0" w:line="240" w:lineRule="auto"/>
      <w:ind w:firstLine="709"/>
      <w:jc w:val="both"/>
    </w:pPr>
    <w:rPr>
      <w:rFonts w:ascii="Arial" w:eastAsia="Lucida Sans Unicode" w:hAnsi="Arial" w:cs="Times New Roman"/>
      <w:kern w:val="1"/>
      <w:sz w:val="20"/>
      <w:szCs w:val="24"/>
      <w:lang w:eastAsia="ar-SA"/>
    </w:rPr>
  </w:style>
  <w:style w:type="paragraph" w:customStyle="1" w:styleId="21">
    <w:name w:val="Основной текст 21"/>
    <w:basedOn w:val="a"/>
    <w:rsid w:val="00E0567D"/>
    <w:pPr>
      <w:suppressAutoHyphens/>
      <w:spacing w:after="120" w:line="480" w:lineRule="auto"/>
    </w:pPr>
    <w:rPr>
      <w:rFonts w:ascii="Times New Roman" w:eastAsia="Times New Roman" w:hAnsi="Times New Roman" w:cs="Times New Roman"/>
      <w:kern w:val="1"/>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1629BE82618C1228B12FA5ADF1523FC300AC6400D2833A218F08F1A4820B650FB1B3C91D6A1Df2Y6C" TargetMode="External"/><Relationship Id="rId13" Type="http://schemas.openxmlformats.org/officeDocument/2006/relationships/hyperlink" Target="consultantplus://offline/ref=211838BBA7D8D76EB69B49CCDC6D588911AD2629B37EF89F4F7C66C0E45D1AF18B70A9F40230k2b1C" TargetMode="External"/><Relationship Id="rId18" Type="http://schemas.openxmlformats.org/officeDocument/2006/relationships/hyperlink" Target="consultantplus://offline/ref=571E683D84453889F4B4A658A0739FB7B2251AD65998B56BF21DDA323F05EFCD09244E70841F7B8ArCiCB" TargetMode="External"/><Relationship Id="rId26" Type="http://schemas.openxmlformats.org/officeDocument/2006/relationships/hyperlink" Target="consultantplus://offline/ref=4F92BD2976445693977319926F18404CF7998E8897265D296CDC88AF031AED848B06AB5A6B753D57H3Y8D" TargetMode="External"/><Relationship Id="rId3" Type="http://schemas.openxmlformats.org/officeDocument/2006/relationships/settings" Target="settings.xml"/><Relationship Id="rId21" Type="http://schemas.openxmlformats.org/officeDocument/2006/relationships/hyperlink" Target="consultantplus://offline/ref=0E6E817E556C714B141577C3D2B0293DA3E0B9E21A85789016187793D7B9DCF345E840021By2X7D" TargetMode="External"/><Relationship Id="rId7" Type="http://schemas.openxmlformats.org/officeDocument/2006/relationships/hyperlink" Target="http://chukotka.fas.gov.ru/analytic/6680" TargetMode="External"/><Relationship Id="rId12" Type="http://schemas.openxmlformats.org/officeDocument/2006/relationships/hyperlink" Target="consultantplus://offline/ref=211838BBA7D8D76EB69B49CCDC6D588911AA262EB17AF89F4F7C66C0E45D1AF18B70A9F401382021k7bFC" TargetMode="External"/><Relationship Id="rId17" Type="http://schemas.openxmlformats.org/officeDocument/2006/relationships/hyperlink" Target="consultantplus://offline/ref=571E683D84453889F4B4A658A0739FB7B22518D65790B56BF21DDA323F05EFCD09244E70841F7A8ArCiCB" TargetMode="External"/><Relationship Id="rId25" Type="http://schemas.openxmlformats.org/officeDocument/2006/relationships/hyperlink" Target="consultantplus://offline/ref=613F41CE6292060BAA20CA6B97C6E9C5F7F9553B454425FB7D815D86915BEE44634AFE9531yDN7D" TargetMode="External"/><Relationship Id="rId2" Type="http://schemas.openxmlformats.org/officeDocument/2006/relationships/styles" Target="styles.xml"/><Relationship Id="rId16" Type="http://schemas.openxmlformats.org/officeDocument/2006/relationships/hyperlink" Target="consultantplus://offline/ref=211838BBA7D8D76EB69B49CCDC6D588911AA262EB17AF89F4F7C66C0E45D1AF18B70A9F401382021k7bFC" TargetMode="External"/><Relationship Id="rId20" Type="http://schemas.openxmlformats.org/officeDocument/2006/relationships/hyperlink" Target="consultantplus://offline/ref=0E6E817E556C714B141577C3D2B0293DA3E0B9E21A85789016187793D7B9DCF345E840081F2By0X0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61629BE82618C1228B12FA5ADF1523FCA08AE6900D9DE3029D604F3A38D547208F8BFC81E63f1YDC" TargetMode="External"/><Relationship Id="rId24" Type="http://schemas.openxmlformats.org/officeDocument/2006/relationships/hyperlink" Target="consultantplus://offline/ref=613F41CE6292060BAA20CA6B97C6E9C5F7F9553B454425FB7D815D86915BEE44634AFE9D35DAy2N6D" TargetMode="External"/><Relationship Id="rId5" Type="http://schemas.openxmlformats.org/officeDocument/2006/relationships/footnotes" Target="footnotes.xml"/><Relationship Id="rId15" Type="http://schemas.openxmlformats.org/officeDocument/2006/relationships/hyperlink" Target="consultantplus://offline/ref=968ED6636EA627B341AE45C28CDAE013ED470A92F3555C0AFE4D51EEC1011A55EA8E62CAACDC43H1D" TargetMode="External"/><Relationship Id="rId23" Type="http://schemas.openxmlformats.org/officeDocument/2006/relationships/hyperlink" Target="consultantplus://offline/ref=613F41CE6292060BAA20CA6B97C6E9C5F7F9553B454425FB7D815D86915BEE44634AFE9F35DBy2N7D" TargetMode="External"/><Relationship Id="rId28" Type="http://schemas.openxmlformats.org/officeDocument/2006/relationships/fontTable" Target="fontTable.xml"/><Relationship Id="rId10" Type="http://schemas.openxmlformats.org/officeDocument/2006/relationships/hyperlink" Target="consultantplus://offline/ref=A61629BE82618C1228B12FA5ADF1523FCA08AE610DD0DE3029D604F3A38D547208F8BFC81D6B1C28f0Y6C" TargetMode="External"/><Relationship Id="rId19" Type="http://schemas.openxmlformats.org/officeDocument/2006/relationships/hyperlink" Target="consultantplus://offline/ref=0E6E817E556C714B141577C3D2B0293DA3E0B9E21A85789016187793D7B9DCF345E8400A1F2Ay0X4D" TargetMode="External"/><Relationship Id="rId4" Type="http://schemas.openxmlformats.org/officeDocument/2006/relationships/webSettings" Target="webSettings.xml"/><Relationship Id="rId9" Type="http://schemas.openxmlformats.org/officeDocument/2006/relationships/hyperlink" Target="consultantplus://offline/ref=A61629BE82618C1228B12FA5ADF1523FCA08AE610DD0DE3029D604F3A38D547208F8BFC81D6B1C25f0Y2C" TargetMode="External"/><Relationship Id="rId14" Type="http://schemas.openxmlformats.org/officeDocument/2006/relationships/hyperlink" Target="consultantplus://offline/ref=211838BBA7D8D76EB69B49CCDC6D588911AD2629B37EF89F4F7C66C0E45D1AF18B70A9F40230k2b1C" TargetMode="External"/><Relationship Id="rId22" Type="http://schemas.openxmlformats.org/officeDocument/2006/relationships/hyperlink" Target="consultantplus://offline/ref=613F41CE6292060BAA20CA6B97C6E9C5F7F9553B454425FB7D815D86915BEE44634AFE9D35DAy2N3D"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10419</Words>
  <Characters>59393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UFAS</Company>
  <LinksUpToDate>false</LinksUpToDate>
  <CharactersWithSpaces>69673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to14-Duraeva</dc:creator>
  <cp:keywords/>
  <dc:description/>
  <cp:lastModifiedBy>to14-Duraeva</cp:lastModifiedBy>
  <cp:revision>3</cp:revision>
  <cp:lastPrinted>2013-06-05T02:01:00Z</cp:lastPrinted>
  <dcterms:created xsi:type="dcterms:W3CDTF">2013-06-04T07:19:00Z</dcterms:created>
  <dcterms:modified xsi:type="dcterms:W3CDTF">2013-06-05T02:56:00Z</dcterms:modified>
</cp:coreProperties>
</file>