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2B5E69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РЕШЕНИЕ</w:t>
      </w:r>
    </w:p>
    <w:p w:rsidR="00403E4E" w:rsidRPr="002B5E69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2B5E69" w:rsidRPr="002B5E69" w:rsidRDefault="002B5E69" w:rsidP="002B5E6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по резуль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татам рассмотрения жалобы №</w:t>
      </w:r>
      <w:r w:rsidR="00F1143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r w:rsidR="001E731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02-23/18.1-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13</w:t>
      </w:r>
    </w:p>
    <w:p w:rsidR="002B5E69" w:rsidRPr="002B5E69" w:rsidRDefault="002B5E69" w:rsidP="002B5E6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B5E69" w:rsidRPr="002B5E69" w:rsidRDefault="002B5E69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г. Якутск                                            </w:t>
      </w:r>
      <w:r w:rsidR="001E731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резолютивная часть оглашена «31» июл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я</w:t>
      </w: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2013г.</w:t>
      </w:r>
    </w:p>
    <w:p w:rsidR="002B5E69" w:rsidRPr="002B5E69" w:rsidRDefault="002B5E69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изготовлено в </w:t>
      </w:r>
      <w:r w:rsidR="001E731A">
        <w:rPr>
          <w:rFonts w:ascii="Times New Roman" w:eastAsia="Times New Roman" w:hAnsi="Times New Roman" w:cs="Times New Roman"/>
          <w:kern w:val="1"/>
          <w:sz w:val="24"/>
          <w:szCs w:val="24"/>
        </w:rPr>
        <w:t>полном объеме «05» августа</w:t>
      </w: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2013г. </w:t>
      </w:r>
    </w:p>
    <w:p w:rsidR="002B5E69" w:rsidRPr="002B5E69" w:rsidRDefault="002B5E69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B5E69" w:rsidRPr="002B5E69" w:rsidRDefault="002B5E69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Комиссия Управления Федеральной антимонопольной службы по Республике Саха (Якутия) по рассмотрению жалоб на нарушение процедуры проведения торгов и порядка заключения договоров в соответствии со статьей 18.1 Федерального закона «О защите конкуренции», в составе: </w:t>
      </w:r>
    </w:p>
    <w:p w:rsidR="002B5E69" w:rsidRPr="002B5E69" w:rsidRDefault="002B5E69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Ярыгиной О.А. – заместителя руководителя Управления Федеральной антимонопольной службы по Республике Саха (Якутия), председателя Комиссии;</w:t>
      </w:r>
    </w:p>
    <w:p w:rsidR="002B5E69" w:rsidRDefault="002B5E69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Местниковой О.А. – главного специалиста-эксперта</w:t>
      </w: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отдела антимонопольного контроля, члена Комиссии;</w:t>
      </w:r>
    </w:p>
    <w:p w:rsidR="001E731A" w:rsidRPr="001E731A" w:rsidRDefault="001E731A" w:rsidP="001E7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BCA">
        <w:rPr>
          <w:rFonts w:ascii="Times New Roman" w:hAnsi="Times New Roman" w:cs="Times New Roman"/>
          <w:sz w:val="24"/>
          <w:szCs w:val="24"/>
        </w:rPr>
        <w:t>Борисов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4BCA">
        <w:rPr>
          <w:rFonts w:ascii="Times New Roman" w:hAnsi="Times New Roman" w:cs="Times New Roman"/>
          <w:sz w:val="24"/>
          <w:szCs w:val="24"/>
        </w:rPr>
        <w:t xml:space="preserve"> У.В. –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3F4BCA">
        <w:rPr>
          <w:rFonts w:ascii="Times New Roman" w:hAnsi="Times New Roman" w:cs="Times New Roman"/>
          <w:sz w:val="24"/>
          <w:szCs w:val="24"/>
        </w:rPr>
        <w:t xml:space="preserve"> инспектор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4BCA">
        <w:rPr>
          <w:rFonts w:ascii="Times New Roman" w:hAnsi="Times New Roman" w:cs="Times New Roman"/>
          <w:sz w:val="24"/>
          <w:szCs w:val="24"/>
        </w:rPr>
        <w:t xml:space="preserve"> отдела антимонопольного контроля Управления Федеральной антимонопольной службы по Республике Саха (Якутия)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5E69" w:rsidRPr="002B5E69" w:rsidRDefault="002B5E69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При участии:</w:t>
      </w:r>
    </w:p>
    <w:p w:rsidR="002B5E69" w:rsidRPr="002B5E69" w:rsidRDefault="002B5E69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т заявителя –</w:t>
      </w:r>
      <w:r w:rsidR="000A71A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бщества с ограниченной отве</w:t>
      </w:r>
      <w:r w:rsidR="001E731A">
        <w:rPr>
          <w:rFonts w:ascii="Times New Roman" w:eastAsia="Times New Roman" w:hAnsi="Times New Roman" w:cs="Times New Roman"/>
          <w:kern w:val="1"/>
          <w:sz w:val="24"/>
          <w:szCs w:val="24"/>
        </w:rPr>
        <w:t>тственностью «СахаСтройМонтаж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»:</w:t>
      </w: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1E731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Захаров Л.С. (генеральный директор);</w:t>
      </w:r>
    </w:p>
    <w:p w:rsidR="002B5E69" w:rsidRPr="002B5E69" w:rsidRDefault="00D36CE2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От организатора торгов</w:t>
      </w:r>
      <w:r w:rsidR="008752A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-</w:t>
      </w:r>
      <w:r w:rsidR="000A71A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</w:t>
      </w:r>
      <w:r w:rsid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ткрытого акционерного общества </w:t>
      </w:r>
      <w:r w:rsidR="001E731A">
        <w:rPr>
          <w:rFonts w:ascii="Times New Roman" w:eastAsia="Times New Roman" w:hAnsi="Times New Roman" w:cs="Times New Roman"/>
          <w:kern w:val="1"/>
          <w:sz w:val="24"/>
          <w:szCs w:val="24"/>
        </w:rPr>
        <w:t>Лизинговой компании «Туймаада-Лизинг»: Соловьев С</w:t>
      </w:r>
      <w:r w:rsidR="002B5E69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  <w:r w:rsidR="001E731A">
        <w:rPr>
          <w:rFonts w:ascii="Times New Roman" w:eastAsia="Times New Roman" w:hAnsi="Times New Roman" w:cs="Times New Roman"/>
          <w:kern w:val="1"/>
          <w:sz w:val="24"/>
          <w:szCs w:val="24"/>
        </w:rPr>
        <w:t>В.</w:t>
      </w:r>
      <w:r w:rsid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(представитель по доверенности),</w:t>
      </w:r>
    </w:p>
    <w:p w:rsidR="00403E4E" w:rsidRDefault="002B5E69" w:rsidP="00403E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Рассмотрев жалобу ООО «</w:t>
      </w:r>
      <w:r w:rsidR="001E731A">
        <w:rPr>
          <w:rFonts w:ascii="Times New Roman" w:eastAsia="Times New Roman" w:hAnsi="Times New Roman" w:cs="Times New Roman"/>
          <w:kern w:val="1"/>
          <w:sz w:val="24"/>
          <w:szCs w:val="24"/>
        </w:rPr>
        <w:t>СахаСтройМонтаж</w:t>
      </w: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» на действия</w:t>
      </w:r>
      <w:r w:rsidR="00D36CE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организатора торгов -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ОАО </w:t>
      </w:r>
      <w:r w:rsidR="001E731A">
        <w:rPr>
          <w:rFonts w:ascii="Times New Roman" w:eastAsia="Times New Roman" w:hAnsi="Times New Roman" w:cs="Times New Roman"/>
          <w:kern w:val="1"/>
          <w:sz w:val="24"/>
          <w:szCs w:val="24"/>
        </w:rPr>
        <w:t>ЛК «Туймаада-Лизинг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» при проведении открытого конкурса </w:t>
      </w:r>
      <w:r w:rsidR="001E731A" w:rsidRPr="007C5C9C">
        <w:rPr>
          <w:rFonts w:ascii="Times New Roman" w:hAnsi="Times New Roman"/>
          <w:sz w:val="24"/>
          <w:szCs w:val="24"/>
        </w:rPr>
        <w:t>на право заключения договора подряда на выполнение строительно-монтажных работ по объекту "Зерноочистительный комплекс на 5 тыс. тонн на участке Ааллаах с. Покровка Амгинского улуса Республ</w:t>
      </w:r>
      <w:r w:rsidR="001E731A">
        <w:rPr>
          <w:rFonts w:ascii="Times New Roman" w:hAnsi="Times New Roman"/>
          <w:sz w:val="24"/>
          <w:szCs w:val="24"/>
        </w:rPr>
        <w:t>ики Саха (Якутия) - II очередь"</w:t>
      </w:r>
      <w:r w:rsidR="000A71AA">
        <w:rPr>
          <w:rFonts w:ascii="Times New Roman" w:eastAsia="Times New Roman" w:hAnsi="Times New Roman" w:cs="Times New Roman"/>
          <w:kern w:val="1"/>
          <w:sz w:val="24"/>
          <w:szCs w:val="24"/>
        </w:rPr>
        <w:t>,</w:t>
      </w:r>
    </w:p>
    <w:p w:rsidR="00403E4E" w:rsidRPr="002B5E69" w:rsidRDefault="00403E4E" w:rsidP="00403E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B5E69" w:rsidRDefault="002B5E69" w:rsidP="002B5E6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у с т а н о в и л а:</w:t>
      </w:r>
    </w:p>
    <w:p w:rsidR="00403E4E" w:rsidRPr="002B5E69" w:rsidRDefault="00403E4E" w:rsidP="002B5E6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A71AA" w:rsidRPr="002B5E69" w:rsidRDefault="002B5E69" w:rsidP="000A71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В Управление Федеральной антимонопольной служб</w:t>
      </w:r>
      <w:r w:rsidR="001E731A">
        <w:rPr>
          <w:rFonts w:ascii="Times New Roman" w:eastAsia="Times New Roman" w:hAnsi="Times New Roman" w:cs="Times New Roman"/>
          <w:kern w:val="1"/>
          <w:sz w:val="24"/>
          <w:szCs w:val="24"/>
        </w:rPr>
        <w:t>ы по Республике Саха (Якутия) 23 июл</w:t>
      </w:r>
      <w:r w:rsidR="000A71A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я 2013 </w:t>
      </w: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г. года поступила жалоба вх.</w:t>
      </w:r>
      <w:r w:rsidR="001E731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№ 3865</w:t>
      </w: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Общества с ограниченной ответственностью «</w:t>
      </w:r>
      <w:r w:rsidR="001E731A">
        <w:rPr>
          <w:rFonts w:ascii="Times New Roman" w:eastAsia="Times New Roman" w:hAnsi="Times New Roman" w:cs="Times New Roman"/>
          <w:kern w:val="1"/>
          <w:sz w:val="24"/>
          <w:szCs w:val="24"/>
        </w:rPr>
        <w:t>СахаСтройМонтаж</w:t>
      </w:r>
      <w:r w:rsidR="000A71A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» (юридический </w:t>
      </w:r>
      <w:r w:rsidR="001E731A">
        <w:rPr>
          <w:rFonts w:ascii="Times New Roman" w:eastAsia="Times New Roman" w:hAnsi="Times New Roman" w:cs="Times New Roman"/>
          <w:kern w:val="1"/>
          <w:sz w:val="24"/>
          <w:szCs w:val="24"/>
        </w:rPr>
        <w:t>адрес: 677000</w:t>
      </w: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,</w:t>
      </w:r>
      <w:r w:rsidR="001E731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г. Якутск,                   ул. Дзержинского, д. 35, кв. 4</w:t>
      </w: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)  на </w:t>
      </w:r>
      <w:r w:rsidR="000A71A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действия </w:t>
      </w:r>
      <w:r w:rsidR="00D36CE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организатора торгов - </w:t>
      </w:r>
      <w:r w:rsidR="000A71A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Открытого акционерного общества </w:t>
      </w:r>
      <w:r w:rsidR="001E731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ЛК </w:t>
      </w:r>
      <w:r w:rsidR="000A71AA">
        <w:rPr>
          <w:rFonts w:ascii="Times New Roman" w:eastAsia="Times New Roman" w:hAnsi="Times New Roman" w:cs="Times New Roman"/>
          <w:kern w:val="1"/>
          <w:sz w:val="24"/>
          <w:szCs w:val="24"/>
        </w:rPr>
        <w:t>«</w:t>
      </w:r>
      <w:r w:rsidR="001E731A">
        <w:rPr>
          <w:rFonts w:ascii="Times New Roman" w:eastAsia="Times New Roman" w:hAnsi="Times New Roman" w:cs="Times New Roman"/>
          <w:kern w:val="1"/>
          <w:sz w:val="24"/>
          <w:szCs w:val="24"/>
        </w:rPr>
        <w:t>Туймаада-Лизинг</w:t>
      </w:r>
      <w:r w:rsidR="000A71AA">
        <w:rPr>
          <w:rFonts w:ascii="Times New Roman" w:eastAsia="Times New Roman" w:hAnsi="Times New Roman" w:cs="Times New Roman"/>
          <w:kern w:val="1"/>
          <w:sz w:val="24"/>
          <w:szCs w:val="24"/>
        </w:rPr>
        <w:t>»</w:t>
      </w:r>
      <w:r w:rsidR="000A71AA"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0A71AA">
        <w:rPr>
          <w:rFonts w:ascii="Times New Roman" w:eastAsia="Times New Roman" w:hAnsi="Times New Roman" w:cs="Times New Roman"/>
          <w:kern w:val="1"/>
          <w:sz w:val="24"/>
          <w:szCs w:val="24"/>
        </w:rPr>
        <w:t>при проведении</w:t>
      </w: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открытого конкурса </w:t>
      </w:r>
      <w:r w:rsidR="001E731A" w:rsidRPr="007C5C9C">
        <w:rPr>
          <w:rFonts w:ascii="Times New Roman" w:hAnsi="Times New Roman"/>
          <w:sz w:val="24"/>
          <w:szCs w:val="24"/>
        </w:rPr>
        <w:t xml:space="preserve">на право заключения </w:t>
      </w:r>
      <w:r w:rsidR="001E731A" w:rsidRPr="007C5C9C">
        <w:rPr>
          <w:rFonts w:ascii="Times New Roman" w:hAnsi="Times New Roman"/>
          <w:sz w:val="24"/>
          <w:szCs w:val="24"/>
        </w:rPr>
        <w:lastRenderedPageBreak/>
        <w:t>договора подряда на выполнение строительно-монтажных работ по объекту "Зерноочистительный комплекс на 5 тыс. тонн на участке Ааллаах с. Покровка Амгинского улуса Республ</w:t>
      </w:r>
      <w:r w:rsidR="001E731A">
        <w:rPr>
          <w:rFonts w:ascii="Times New Roman" w:hAnsi="Times New Roman"/>
          <w:sz w:val="24"/>
          <w:szCs w:val="24"/>
        </w:rPr>
        <w:t>ики Саха (Якутия) - II очередь"</w:t>
      </w:r>
      <w:r w:rsidR="001E731A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:rsidR="000A71AA" w:rsidRDefault="000A71AA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Как следует из жа</w:t>
      </w:r>
      <w:r w:rsidR="001E731A">
        <w:rPr>
          <w:rFonts w:ascii="Times New Roman" w:eastAsia="Times New Roman" w:hAnsi="Times New Roman" w:cs="Times New Roman"/>
          <w:kern w:val="1"/>
          <w:sz w:val="24"/>
          <w:szCs w:val="24"/>
        </w:rPr>
        <w:t>лобы заявителя, при проведении процедуры оценки и сопоставления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заявок на участи</w:t>
      </w:r>
      <w:r w:rsidR="00EC4BDD">
        <w:rPr>
          <w:rFonts w:ascii="Times New Roman" w:eastAsia="Times New Roman" w:hAnsi="Times New Roman" w:cs="Times New Roman"/>
          <w:kern w:val="1"/>
          <w:sz w:val="24"/>
          <w:szCs w:val="24"/>
        </w:rPr>
        <w:t>е в открытом конкурсе конкурсной комиссией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ОАО </w:t>
      </w:r>
      <w:r w:rsidR="001E731A">
        <w:rPr>
          <w:rFonts w:ascii="Times New Roman" w:eastAsia="Times New Roman" w:hAnsi="Times New Roman" w:cs="Times New Roman"/>
          <w:kern w:val="1"/>
          <w:sz w:val="24"/>
          <w:szCs w:val="24"/>
        </w:rPr>
        <w:t>ЛК «Туймаада-Лизинг</w:t>
      </w:r>
      <w:r w:rsidR="00EC4BDD">
        <w:rPr>
          <w:rFonts w:ascii="Times New Roman" w:eastAsia="Times New Roman" w:hAnsi="Times New Roman" w:cs="Times New Roman"/>
          <w:kern w:val="1"/>
          <w:sz w:val="24"/>
          <w:szCs w:val="24"/>
        </w:rPr>
        <w:t>»  были ненадлежащим образом оценены и сопоставлены предложения о цене контракта участников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размещени</w:t>
      </w:r>
      <w:r w:rsidR="00EC4BDD">
        <w:rPr>
          <w:rFonts w:ascii="Times New Roman" w:eastAsia="Times New Roman" w:hAnsi="Times New Roman" w:cs="Times New Roman"/>
          <w:kern w:val="1"/>
          <w:sz w:val="24"/>
          <w:szCs w:val="24"/>
        </w:rPr>
        <w:t>я заказа ООО «Сахасельстрой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»</w:t>
      </w:r>
      <w:r w:rsidR="00EC4BD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и ООО «СахаСтройМонтаж».</w:t>
      </w:r>
    </w:p>
    <w:p w:rsidR="001F3DBC" w:rsidRDefault="00997338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 мнению заявителя, </w:t>
      </w:r>
      <w:r w:rsidR="00EC4BD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то обстоятельство, что ООО «СахаСтройМонтаж» не является плательщиком НДС, повлияло на результаты оценки и сопоставления </w:t>
      </w:r>
      <w:r w:rsidR="008F2A22">
        <w:rPr>
          <w:rFonts w:ascii="Times New Roman" w:eastAsia="Times New Roman" w:hAnsi="Times New Roman" w:cs="Times New Roman"/>
          <w:kern w:val="1"/>
          <w:sz w:val="24"/>
          <w:szCs w:val="24"/>
        </w:rPr>
        <w:t>заявок и ущемило права данного участника закупки.</w:t>
      </w:r>
    </w:p>
    <w:p w:rsidR="00EC4BDD" w:rsidRDefault="008F2A22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Также, заявитель обжалует решение конкурсной комиссии о допуске к участию в открытом конкурсе ООО «Сахасельстрой». В обоснование указанного довода заявитель ссылается на то, что в соответствии с данными с официального сайта СРО НП «Строительный ресурс» у ООО «Сахасельстрой»  приостановлено свидетельство СРО о допуске к видам работ № 33: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(подрядчиком) и осуществление организации работ по строительству, реконструкции, капитальному ремонту объектов капитального строительства, стоимость которых по одному договору не превышает 60 млн. руб.</w:t>
      </w:r>
    </w:p>
    <w:p w:rsidR="001F3DBC" w:rsidRDefault="00511C73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Представитель</w:t>
      </w:r>
      <w:r w:rsidR="0099733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D36CE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ОАО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ЛК </w:t>
      </w:r>
      <w:r w:rsidR="00D36CE2">
        <w:rPr>
          <w:rFonts w:ascii="Times New Roman" w:eastAsia="Times New Roman" w:hAnsi="Times New Roman" w:cs="Times New Roman"/>
          <w:kern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Тумаада-Лизинг</w:t>
      </w:r>
      <w:r w:rsidR="00D36CE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с доводами жалобы не согласен и пояснил следующее.</w:t>
      </w:r>
    </w:p>
    <w:p w:rsidR="00511C73" w:rsidRDefault="00E1485A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Как установлено п</w:t>
      </w:r>
      <w:r w:rsidR="00511C7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унктом 5 раздела 3 «Информационная карта» конкурсной документации (далее – информационная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карта),</w:t>
      </w:r>
      <w:r w:rsidR="00511C7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если участник закупки не является плательщиком НДС (18%), то начальная (максимальная) цена договора уменьшается на сумму НДС (18%), в данной связи принимая во внимание </w:t>
      </w:r>
      <w:r w:rsidR="006E0AB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то, </w:t>
      </w:r>
      <w:r w:rsidR="00511C73">
        <w:rPr>
          <w:rFonts w:ascii="Times New Roman" w:eastAsia="Times New Roman" w:hAnsi="Times New Roman" w:cs="Times New Roman"/>
          <w:kern w:val="1"/>
          <w:sz w:val="24"/>
          <w:szCs w:val="24"/>
        </w:rPr>
        <w:t>что участник закупки ООО «Сахасельстрой» по установленной системе налогообложения не является плательщиком НДС, заказчиком вполне обоснованно в соответствии с условиями конкурсной документации при оценке учитывалась цена договора ООО «Сахасельстрой» без НДС, что отражено в протоколе оценки и сопоставления заявок на участие в открытом конкурсе № 17-3 от 16.07.2013 г.</w:t>
      </w:r>
    </w:p>
    <w:p w:rsidR="002B5E69" w:rsidRDefault="002B5E69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Комиссия по рассмотрению дела, выслушав лиц, участвующих в деле, изучив имеющиеся доказательства и материалы дела, приходит к следующим выводам.</w:t>
      </w:r>
    </w:p>
    <w:p w:rsidR="00751A5E" w:rsidRDefault="00751A5E" w:rsidP="00751A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08 ма</w:t>
      </w:r>
      <w:r w:rsidRPr="00751A5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я 2012 года на официальном сайте Российской Федерации www.zakupki.gov.ru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организатором торгов ОАО ЛК «Тумаада-лизинг» </w:t>
      </w:r>
      <w:r w:rsidRPr="00751A5E">
        <w:rPr>
          <w:rFonts w:ascii="Times New Roman" w:eastAsia="Times New Roman" w:hAnsi="Times New Roman" w:cs="Times New Roman"/>
          <w:kern w:val="1"/>
          <w:sz w:val="24"/>
          <w:szCs w:val="24"/>
        </w:rPr>
        <w:t>размещено извещение №  31300299351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751A5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 проведении открытого конкурса на </w:t>
      </w:r>
      <w:r w:rsidRPr="007C5C9C">
        <w:rPr>
          <w:rFonts w:ascii="Times New Roman" w:hAnsi="Times New Roman"/>
          <w:sz w:val="24"/>
          <w:szCs w:val="24"/>
        </w:rPr>
        <w:t>выполнение строительно-монтажных работ по объекту "Зерноочистительный комплекс на 5 тыс. тонн на участке Ааллаах с. Покровка Амгинского улуса Республ</w:t>
      </w:r>
      <w:r>
        <w:rPr>
          <w:rFonts w:ascii="Times New Roman" w:hAnsi="Times New Roman"/>
          <w:sz w:val="24"/>
          <w:szCs w:val="24"/>
        </w:rPr>
        <w:t>ики Саха (Якутия) - II очередь"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:rsidR="00751A5E" w:rsidRPr="00751A5E" w:rsidRDefault="00751A5E" w:rsidP="00751A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10 июля 2013</w:t>
      </w:r>
      <w:r w:rsidR="00FF2DB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года закупочной</w:t>
      </w:r>
      <w:r w:rsidRPr="00751A5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комиссией проведена процедура вскрытия конвертов с заявками на участие в конкурсе, о чем составлен протокол №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1</w:t>
      </w:r>
      <w:r w:rsidRPr="00751A5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7-1. Согласно данному протоколу,  до окончания срока подачи заявок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в адрес организатора торгов</w:t>
      </w:r>
      <w:r w:rsidRPr="00751A5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поступили две заявки на участие в конкурсе следующих участников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закупки: ООО «СахаСтройМонтаж», </w:t>
      </w:r>
      <w:r w:rsidR="009524D1">
        <w:rPr>
          <w:rFonts w:ascii="Times New Roman" w:eastAsia="Times New Roman" w:hAnsi="Times New Roman" w:cs="Times New Roman"/>
          <w:kern w:val="1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О «Фаворит</w:t>
      </w:r>
      <w:r w:rsidRPr="00751A5E">
        <w:rPr>
          <w:rFonts w:ascii="Times New Roman" w:eastAsia="Times New Roman" w:hAnsi="Times New Roman" w:cs="Times New Roman"/>
          <w:kern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, ООО «Сахасельстрой»</w:t>
      </w:r>
      <w:r w:rsidRPr="00751A5E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:rsidR="00751A5E" w:rsidRPr="00751A5E" w:rsidRDefault="00751A5E" w:rsidP="00751A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12 июля 2013</w:t>
      </w:r>
      <w:r w:rsidRPr="00751A5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года поступивш</w:t>
      </w:r>
      <w:r w:rsidR="00FF2DB1">
        <w:rPr>
          <w:rFonts w:ascii="Times New Roman" w:eastAsia="Times New Roman" w:hAnsi="Times New Roman" w:cs="Times New Roman"/>
          <w:kern w:val="1"/>
          <w:sz w:val="24"/>
          <w:szCs w:val="24"/>
        </w:rPr>
        <w:t>ие заявки рассмотрены закупочной</w:t>
      </w:r>
      <w:r w:rsidRPr="00751A5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комисси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ей, о чем составлен протокол № 1</w:t>
      </w:r>
      <w:r w:rsidRPr="00751A5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7-2, решением конкурсной комиссии к участию в конкурсе допущены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участники закупки ООО «СахаСтройМонтаж», ООО «Сахасельстрой»</w:t>
      </w:r>
      <w:r w:rsidRPr="00751A5E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участнику закупки </w:t>
      </w:r>
      <w:r w:rsidR="009524D1">
        <w:rPr>
          <w:rFonts w:ascii="Times New Roman" w:eastAsia="Times New Roman" w:hAnsi="Times New Roman" w:cs="Times New Roman"/>
          <w:kern w:val="1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О «Фаворит</w:t>
      </w:r>
      <w:r w:rsidRPr="00751A5E">
        <w:rPr>
          <w:rFonts w:ascii="Times New Roman" w:eastAsia="Times New Roman" w:hAnsi="Times New Roman" w:cs="Times New Roman"/>
          <w:kern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отказано в допуске к участию в конкурсе.</w:t>
      </w:r>
    </w:p>
    <w:p w:rsidR="00751A5E" w:rsidRDefault="009524D1" w:rsidP="00751A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16 июля 2013</w:t>
      </w:r>
      <w:r w:rsidR="00751A5E" w:rsidRPr="00751A5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года состоялась процедура оценки и сопоставления заявок на участие в открытом конкурсе,</w:t>
      </w:r>
      <w:r w:rsidR="00751A5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 чем составлен протокол № 17</w:t>
      </w:r>
      <w:r w:rsidR="00751A5E" w:rsidRPr="00751A5E">
        <w:rPr>
          <w:rFonts w:ascii="Times New Roman" w:eastAsia="Times New Roman" w:hAnsi="Times New Roman" w:cs="Times New Roman"/>
          <w:kern w:val="1"/>
          <w:sz w:val="24"/>
          <w:szCs w:val="24"/>
        </w:rPr>
        <w:t>-3. По итогам п</w:t>
      </w:r>
      <w:r w:rsidR="00FF2DB1">
        <w:rPr>
          <w:rFonts w:ascii="Times New Roman" w:eastAsia="Times New Roman" w:hAnsi="Times New Roman" w:cs="Times New Roman"/>
          <w:kern w:val="1"/>
          <w:sz w:val="24"/>
          <w:szCs w:val="24"/>
        </w:rPr>
        <w:t>роведенной процедуры, закупочная</w:t>
      </w:r>
      <w:r w:rsidR="00751A5E" w:rsidRPr="00751A5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комиссия признала победителем откр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ытого конкурса ОАО «Сахасельстрой</w:t>
      </w:r>
      <w:r w:rsidR="00751A5E" w:rsidRPr="00751A5E">
        <w:rPr>
          <w:rFonts w:ascii="Times New Roman" w:eastAsia="Times New Roman" w:hAnsi="Times New Roman" w:cs="Times New Roman"/>
          <w:kern w:val="1"/>
          <w:sz w:val="24"/>
          <w:szCs w:val="24"/>
        </w:rPr>
        <w:t>». Второе мест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о присуждено ООО «СахаСтройМонтаж</w:t>
      </w:r>
      <w:r w:rsidR="00751A5E" w:rsidRPr="00751A5E">
        <w:rPr>
          <w:rFonts w:ascii="Times New Roman" w:eastAsia="Times New Roman" w:hAnsi="Times New Roman" w:cs="Times New Roman"/>
          <w:kern w:val="1"/>
          <w:sz w:val="24"/>
          <w:szCs w:val="24"/>
        </w:rPr>
        <w:t>».</w:t>
      </w:r>
    </w:p>
    <w:p w:rsidR="00511C73" w:rsidRPr="009524D1" w:rsidRDefault="00511C73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  <w:r w:rsidRPr="009524D1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 xml:space="preserve">Довод заявителя о нарушении конкурсной комиссией процедуры оценки и сопоставления заявок на участие в конкурсе признан обоснованным на основании </w:t>
      </w:r>
      <w:r w:rsidRPr="009524D1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lastRenderedPageBreak/>
        <w:t>следующего.</w:t>
      </w:r>
    </w:p>
    <w:p w:rsidR="00511C73" w:rsidRDefault="00511C73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В пункте 21 информацион</w:t>
      </w:r>
      <w:r w:rsidR="009524D1">
        <w:rPr>
          <w:rFonts w:ascii="Times New Roman" w:eastAsia="Times New Roman" w:hAnsi="Times New Roman" w:cs="Times New Roman"/>
          <w:kern w:val="1"/>
          <w:sz w:val="24"/>
          <w:szCs w:val="24"/>
        </w:rPr>
        <w:t>ной карты установлены критерии и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порядок оценки заявок на участие в конкурсе, в том числе порядок оценки цены договора:</w:t>
      </w:r>
    </w:p>
    <w:p w:rsidR="00511C73" w:rsidRDefault="00F77B62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«Рейтинг, присуждаемый заявке по критерию «цена договора», определяется по формуле:</w:t>
      </w:r>
    </w:p>
    <w:p w:rsidR="00E1485A" w:rsidRPr="00E1485A" w:rsidRDefault="00E1485A" w:rsidP="00E1485A">
      <w:pPr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lang w:val="en-US"/>
        </w:rPr>
      </w:pPr>
      <w:r w:rsidRPr="00E1485A">
        <w:rPr>
          <w:rFonts w:ascii="Times New Roman" w:eastAsia="Times New Roman" w:hAnsi="Times New Roman" w:cs="Times New Roman"/>
          <w:lang w:val="en-US"/>
        </w:rPr>
        <w:t>A    - A</w:t>
      </w:r>
    </w:p>
    <w:p w:rsidR="00E1485A" w:rsidRPr="00E1485A" w:rsidRDefault="00E1485A" w:rsidP="00E1485A">
      <w:pPr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lang w:val="en-US"/>
        </w:rPr>
      </w:pPr>
      <w:r w:rsidRPr="00E1485A">
        <w:rPr>
          <w:rFonts w:ascii="Times New Roman" w:eastAsia="Times New Roman" w:hAnsi="Times New Roman" w:cs="Times New Roman"/>
          <w:lang w:val="en-US"/>
        </w:rPr>
        <w:t>max    i</w:t>
      </w:r>
    </w:p>
    <w:p w:rsidR="00E1485A" w:rsidRPr="00E1485A" w:rsidRDefault="00E1485A" w:rsidP="00E1485A">
      <w:pPr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lang w:val="en-US"/>
        </w:rPr>
      </w:pPr>
      <w:r w:rsidRPr="00E1485A">
        <w:rPr>
          <w:rFonts w:ascii="Times New Roman" w:eastAsia="Times New Roman" w:hAnsi="Times New Roman" w:cs="Times New Roman"/>
          <w:lang w:val="en-US"/>
        </w:rPr>
        <w:t>Ra  = --------- x 100,</w:t>
      </w:r>
    </w:p>
    <w:p w:rsidR="00E1485A" w:rsidRPr="00E1485A" w:rsidRDefault="00E1485A" w:rsidP="00E1485A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 w:cs="Times New Roman"/>
          <w:lang w:val="en-US"/>
        </w:rPr>
      </w:pPr>
      <w:r w:rsidRPr="00E1485A"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</w:t>
      </w:r>
      <w:r w:rsidR="00B57E9D">
        <w:rPr>
          <w:rFonts w:ascii="Times New Roman" w:eastAsia="Times New Roman" w:hAnsi="Times New Roman" w:cs="Times New Roman"/>
        </w:rPr>
        <w:t xml:space="preserve">                  </w:t>
      </w:r>
      <w:r w:rsidRPr="00E1485A">
        <w:rPr>
          <w:rFonts w:ascii="Times New Roman" w:eastAsia="Times New Roman" w:hAnsi="Times New Roman" w:cs="Times New Roman"/>
          <w:lang w:val="en-US"/>
        </w:rPr>
        <w:t>i         A</w:t>
      </w:r>
    </w:p>
    <w:p w:rsidR="00E1485A" w:rsidRPr="00E1485A" w:rsidRDefault="00E1485A" w:rsidP="00E1485A">
      <w:pPr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lang w:val="en-US"/>
        </w:rPr>
      </w:pPr>
      <w:r w:rsidRPr="00E1485A">
        <w:rPr>
          <w:rFonts w:ascii="Times New Roman" w:eastAsia="Times New Roman" w:hAnsi="Times New Roman" w:cs="Times New Roman"/>
          <w:lang w:val="en-US"/>
        </w:rPr>
        <w:t xml:space="preserve">     max</w:t>
      </w:r>
    </w:p>
    <w:p w:rsidR="00E1485A" w:rsidRPr="00E1485A" w:rsidRDefault="00E1485A" w:rsidP="00E1485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lang w:val="en-US"/>
        </w:rPr>
      </w:pPr>
      <w:r w:rsidRPr="00E1485A">
        <w:rPr>
          <w:rFonts w:ascii="Times New Roman" w:eastAsia="Times New Roman" w:hAnsi="Times New Roman" w:cs="Times New Roman"/>
        </w:rPr>
        <w:t>где</w:t>
      </w:r>
      <w:r w:rsidRPr="00E1485A">
        <w:rPr>
          <w:rFonts w:ascii="Times New Roman" w:eastAsia="Times New Roman" w:hAnsi="Times New Roman" w:cs="Times New Roman"/>
          <w:lang w:val="en-US"/>
        </w:rPr>
        <w:t xml:space="preserve">, 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8054"/>
      </w:tblGrid>
      <w:tr w:rsidR="00E1485A" w:rsidRPr="00E1485A" w:rsidTr="00E1485A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A" w:rsidRPr="00E1485A" w:rsidRDefault="00E1485A" w:rsidP="00E148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1485A">
              <w:rPr>
                <w:rFonts w:ascii="Times New Roman" w:eastAsia="Times New Roman" w:hAnsi="Times New Roman" w:cs="Times New Roman"/>
                <w:lang w:val="en-US"/>
              </w:rPr>
              <w:t>Ra</w:t>
            </w:r>
          </w:p>
          <w:p w:rsidR="00E1485A" w:rsidRPr="00E1485A" w:rsidRDefault="00B57E9D" w:rsidP="00E148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E1485A" w:rsidRPr="00E1485A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A" w:rsidRPr="00E1485A" w:rsidRDefault="00E1485A" w:rsidP="00E148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1485A">
              <w:rPr>
                <w:rFonts w:ascii="Times New Roman" w:eastAsia="Times New Roman" w:hAnsi="Times New Roman" w:cs="Times New Roman"/>
              </w:rPr>
              <w:t>- рейтинг, присуждаемый i-й заявке по указанному критерию;</w:t>
            </w:r>
          </w:p>
          <w:p w:rsidR="00E1485A" w:rsidRPr="00E1485A" w:rsidRDefault="00E1485A" w:rsidP="00E1485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485A" w:rsidRPr="00E1485A" w:rsidTr="00E1485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A" w:rsidRPr="00E1485A" w:rsidRDefault="00E1485A" w:rsidP="00E148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1485A">
              <w:rPr>
                <w:rFonts w:ascii="Times New Roman" w:eastAsia="Times New Roman" w:hAnsi="Times New Roman" w:cs="Times New Roman"/>
              </w:rPr>
              <w:t>А</w:t>
            </w:r>
          </w:p>
          <w:p w:rsidR="00E1485A" w:rsidRPr="00E1485A" w:rsidRDefault="00E1485A" w:rsidP="00E148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1485A">
              <w:rPr>
                <w:rFonts w:ascii="Times New Roman" w:eastAsia="Times New Roman" w:hAnsi="Times New Roman" w:cs="Times New Roman"/>
              </w:rPr>
              <w:t>max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A" w:rsidRPr="00E1485A" w:rsidRDefault="00E1485A" w:rsidP="00E148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1485A">
              <w:rPr>
                <w:rFonts w:ascii="Times New Roman" w:eastAsia="Times New Roman" w:hAnsi="Times New Roman" w:cs="Times New Roman"/>
              </w:rPr>
              <w:t>- начальная  (максимальная)  цена  договора,  установленная  в  конкурсной документации;</w:t>
            </w:r>
          </w:p>
        </w:tc>
      </w:tr>
      <w:tr w:rsidR="00E1485A" w:rsidRPr="00E1485A" w:rsidTr="00E1485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A" w:rsidRPr="00E1485A" w:rsidRDefault="00E1485A" w:rsidP="00E148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1485A">
              <w:rPr>
                <w:rFonts w:ascii="Times New Roman" w:eastAsia="Times New Roman" w:hAnsi="Times New Roman" w:cs="Times New Roman"/>
              </w:rPr>
              <w:t>A</w:t>
            </w:r>
          </w:p>
          <w:p w:rsidR="00E1485A" w:rsidRPr="00E1485A" w:rsidRDefault="00E1485A" w:rsidP="00E148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1485A">
              <w:rPr>
                <w:rFonts w:ascii="Times New Roman" w:eastAsia="Times New Roman" w:hAnsi="Times New Roman" w:cs="Times New Roman"/>
              </w:rPr>
              <w:t xml:space="preserve">   i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A" w:rsidRPr="00E1485A" w:rsidRDefault="00E1485A" w:rsidP="00E148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1485A">
              <w:rPr>
                <w:rFonts w:ascii="Times New Roman" w:eastAsia="Times New Roman" w:hAnsi="Times New Roman" w:cs="Times New Roman"/>
              </w:rPr>
              <w:t>- предложение  i-го участника конкурса по цене договора</w:t>
            </w:r>
          </w:p>
        </w:tc>
      </w:tr>
    </w:tbl>
    <w:p w:rsidR="00E1485A" w:rsidRDefault="00E1485A" w:rsidP="00E14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en-US"/>
        </w:rPr>
      </w:pPr>
    </w:p>
    <w:p w:rsidR="00E1485A" w:rsidRPr="00E1485A" w:rsidRDefault="00E1485A" w:rsidP="00E14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1485A">
        <w:rPr>
          <w:rFonts w:ascii="Times New Roman" w:eastAsia="Times New Roman" w:hAnsi="Times New Roman" w:cs="Times New Roman"/>
        </w:rPr>
        <w:t>Рейтинг, присуждаемый заявке по критерию «цена договора», умножается на  значимость критерия «Цена договора».</w:t>
      </w:r>
    </w:p>
    <w:p w:rsidR="00F77B62" w:rsidRPr="00E1485A" w:rsidRDefault="00E1485A" w:rsidP="00E1485A">
      <w:pPr>
        <w:widowControl w:val="0"/>
        <w:tabs>
          <w:tab w:val="left" w:pos="963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Пунктом 5 информационной карты начальная (максимальная) цена договора</w:t>
      </w:r>
      <w:r w:rsidR="000C76D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определена следующим образом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: «</w:t>
      </w:r>
      <w:r w:rsidRPr="00E1485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Начальная (максимальная) цена договора составляет: </w:t>
      </w:r>
      <w:r w:rsidR="000C76D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</w:t>
      </w:r>
      <w:r w:rsidRPr="00E1485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28 175 500</w:t>
      </w:r>
      <w:r w:rsidRPr="00E1485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(двадцать восемь миллионов сто семьдесят пять тысяч пятьсот) рублей, в том числе НДС 18%. </w:t>
      </w:r>
      <w:r w:rsidRPr="006E0AB1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Если участник закупки не является плательщиком НДС 18%, то начальная (максимальная) цена договора уменьшается на сумму НДС 18%.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0C76D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НДС составляет: 4 297 957 (четыре миллиона двести девяносто семь тысяч девятьсот пятьдесят семь) рублей 63 коп. </w:t>
      </w:r>
      <w:r w:rsidR="000C76D0" w:rsidRPr="00E1485A">
        <w:rPr>
          <w:rFonts w:ascii="Times New Roman" w:eastAsia="Times New Roman" w:hAnsi="Times New Roman" w:cs="Times New Roman"/>
          <w:kern w:val="1"/>
          <w:sz w:val="24"/>
          <w:szCs w:val="24"/>
        </w:rPr>
        <w:t>Начальная (максимальная) цена договора</w:t>
      </w:r>
      <w:r w:rsidR="000C76D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без учета </w:t>
      </w:r>
      <w:r w:rsidR="000C76D0" w:rsidRPr="00E1485A">
        <w:rPr>
          <w:rFonts w:ascii="Times New Roman" w:eastAsia="Times New Roman" w:hAnsi="Times New Roman" w:cs="Times New Roman"/>
          <w:kern w:val="1"/>
          <w:sz w:val="24"/>
          <w:szCs w:val="24"/>
        </w:rPr>
        <w:t>НДС 18%</w:t>
      </w:r>
      <w:r w:rsidR="000C76D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составляет: </w:t>
      </w:r>
      <w:r w:rsidR="000C76D0" w:rsidRPr="000C76D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23 877 542</w:t>
      </w:r>
      <w:r w:rsidR="000C76D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(двадцать три миллиона восемьсот семьдесят семь тысяч пятьсот сорок два) рубля 37 коп. </w:t>
      </w:r>
      <w:r w:rsidR="000C76D0" w:rsidRPr="000C76D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Начальная (максимальная) цена договора включает в себя все  расходы, связанные с выполнением работ, а также все налоги, пошлины, прочие сборы и расходы, установленные законодательством Российской Федерации, которые подрядчик договора будет оплачивать в соответствии с условиями </w:t>
      </w:r>
      <w:r w:rsidR="000C76D0">
        <w:rPr>
          <w:rFonts w:ascii="Times New Roman" w:eastAsia="Times New Roman" w:hAnsi="Times New Roman" w:cs="Times New Roman"/>
          <w:kern w:val="1"/>
          <w:sz w:val="24"/>
          <w:szCs w:val="24"/>
        </w:rPr>
        <w:t>договора или на иных основаниях».</w:t>
      </w:r>
    </w:p>
    <w:p w:rsidR="007457B5" w:rsidRDefault="000C76D0" w:rsidP="000C76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Таким образом, при определении рейтинга, присуждаемого заявке по критерию «цена договора» показатель «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Amax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» (начальная (максимальная) цена договора)</w:t>
      </w:r>
      <w:r w:rsidR="00B57E9D">
        <w:rPr>
          <w:rFonts w:ascii="Times New Roman" w:eastAsia="Times New Roman" w:hAnsi="Times New Roman" w:cs="Times New Roman"/>
          <w:kern w:val="1"/>
          <w:sz w:val="24"/>
          <w:szCs w:val="24"/>
        </w:rPr>
        <w:t>, применяемый в формуле,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может составлять 28 175 500 или 23 877 542 в зависимости от того, является ли уч</w:t>
      </w:r>
      <w:r w:rsidR="00FF2DB1">
        <w:rPr>
          <w:rFonts w:ascii="Times New Roman" w:eastAsia="Times New Roman" w:hAnsi="Times New Roman" w:cs="Times New Roman"/>
          <w:kern w:val="1"/>
          <w:sz w:val="24"/>
          <w:szCs w:val="24"/>
        </w:rPr>
        <w:t>астник закупки плательщиком НДС;</w:t>
      </w:r>
      <w:r w:rsidR="007457B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показатель «</w:t>
      </w:r>
      <w:r w:rsidR="007457B5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Ai</w:t>
      </w:r>
      <w:r w:rsidR="007457B5">
        <w:rPr>
          <w:rFonts w:ascii="Times New Roman" w:eastAsia="Times New Roman" w:hAnsi="Times New Roman" w:cs="Times New Roman"/>
          <w:kern w:val="1"/>
          <w:sz w:val="24"/>
          <w:szCs w:val="24"/>
        </w:rPr>
        <w:t>» означает</w:t>
      </w:r>
      <w:r w:rsidR="007457B5" w:rsidRPr="007457B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7457B5">
        <w:rPr>
          <w:rFonts w:ascii="Times New Roman" w:eastAsia="Times New Roman" w:hAnsi="Times New Roman" w:cs="Times New Roman"/>
          <w:kern w:val="1"/>
          <w:sz w:val="24"/>
          <w:szCs w:val="24"/>
        </w:rPr>
        <w:t>предложение участника закупки</w:t>
      </w:r>
      <w:r w:rsidR="009524D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 цене договора.</w:t>
      </w:r>
    </w:p>
    <w:p w:rsidR="00F77B62" w:rsidRDefault="007457B5" w:rsidP="000C76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Как следует из протокола оценки и сопоставления заявок № 17-3 от 1</w:t>
      </w:r>
      <w:r w:rsidR="006E0AB1">
        <w:rPr>
          <w:rFonts w:ascii="Times New Roman" w:eastAsia="Times New Roman" w:hAnsi="Times New Roman" w:cs="Times New Roman"/>
          <w:kern w:val="1"/>
          <w:sz w:val="24"/>
          <w:szCs w:val="24"/>
        </w:rPr>
        <w:t>6.07.2013 г</w:t>
      </w:r>
      <w:r w:rsidR="00FF2DB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ода,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предложения </w:t>
      </w:r>
      <w:r w:rsidR="009524D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 цене договора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участников закупки, допущенных к участию в конкурсе</w:t>
      </w:r>
      <w:r w:rsidR="009524D1">
        <w:rPr>
          <w:rFonts w:ascii="Times New Roman" w:eastAsia="Times New Roman" w:hAnsi="Times New Roman" w:cs="Times New Roman"/>
          <w:kern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9524D1">
        <w:rPr>
          <w:rFonts w:ascii="Times New Roman" w:eastAsia="Times New Roman" w:hAnsi="Times New Roman" w:cs="Times New Roman"/>
          <w:kern w:val="1"/>
          <w:sz w:val="24"/>
          <w:szCs w:val="24"/>
        </w:rPr>
        <w:t>выглядят следующим образом:</w:t>
      </w:r>
    </w:p>
    <w:p w:rsidR="009524D1" w:rsidRDefault="009524D1" w:rsidP="000C76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23 500 000 рублей – участник закупки ООО «СахаСтройМонтаж»;</w:t>
      </w:r>
    </w:p>
    <w:p w:rsidR="009524D1" w:rsidRPr="007457B5" w:rsidRDefault="009524D1" w:rsidP="000C76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27 995 842 рублей – участник закупки ООО «Сахасельстрой».</w:t>
      </w:r>
    </w:p>
    <w:p w:rsidR="00511C73" w:rsidRDefault="00B57E9D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Между тем, из материалов дела установлено, что </w:t>
      </w:r>
      <w:r w:rsidR="007457B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при установлении рейтинга, присуждаемого заявке ООО «Сахасельстрой» </w:t>
      </w:r>
      <w:r w:rsidR="00FF2DB1">
        <w:rPr>
          <w:rFonts w:ascii="Times New Roman" w:eastAsia="Times New Roman" w:hAnsi="Times New Roman" w:cs="Times New Roman"/>
          <w:kern w:val="1"/>
          <w:sz w:val="24"/>
          <w:szCs w:val="24"/>
        </w:rPr>
        <w:t>закупочная</w:t>
      </w:r>
      <w:r w:rsidR="009524D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комиссия исходила</w:t>
      </w:r>
      <w:r w:rsidR="007457B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9524D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из </w:t>
      </w:r>
      <w:r w:rsidR="007457B5">
        <w:rPr>
          <w:rFonts w:ascii="Times New Roman" w:eastAsia="Times New Roman" w:hAnsi="Times New Roman" w:cs="Times New Roman"/>
          <w:kern w:val="1"/>
          <w:sz w:val="24"/>
          <w:szCs w:val="24"/>
        </w:rPr>
        <w:t>предлагаем</w:t>
      </w:r>
      <w:r w:rsidR="009524D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ой цены договора 23 725 290 руб., что не соответствует предлагаемой цене договора ООО «Сахасельстрой», указанной в заявке на участие в конкурсе и в протоколе оценки и сопоставления заявок </w:t>
      </w:r>
      <w:r w:rsidR="00095D22">
        <w:rPr>
          <w:rFonts w:ascii="Times New Roman" w:eastAsia="Times New Roman" w:hAnsi="Times New Roman" w:cs="Times New Roman"/>
          <w:kern w:val="1"/>
          <w:sz w:val="24"/>
          <w:szCs w:val="24"/>
        </w:rPr>
        <w:t>№ 17-3 от 16.</w:t>
      </w:r>
      <w:r w:rsidR="00FF2DB1">
        <w:rPr>
          <w:rFonts w:ascii="Times New Roman" w:eastAsia="Times New Roman" w:hAnsi="Times New Roman" w:cs="Times New Roman"/>
          <w:kern w:val="1"/>
          <w:sz w:val="24"/>
          <w:szCs w:val="24"/>
        </w:rPr>
        <w:t>07.2013 года.</w:t>
      </w:r>
    </w:p>
    <w:p w:rsidR="00095D22" w:rsidRDefault="00095D22" w:rsidP="00767E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Исходя из вышеизложенного, Комиссия </w:t>
      </w:r>
      <w:r w:rsidR="00767E1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 рассмотрению дела приходит к выводу, что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закупочной комиссией ОАО ЛК «Тумаада-Лизинг» допущено нарушение порядка определения победителя открытого конкурса </w:t>
      </w:r>
      <w:r w:rsidRPr="007C5C9C">
        <w:rPr>
          <w:rFonts w:ascii="Times New Roman" w:hAnsi="Times New Roman"/>
          <w:sz w:val="24"/>
          <w:szCs w:val="24"/>
        </w:rPr>
        <w:t>на право заключения договора подряда на выполнение строительно-монтажных работ по объекту "Зерноочистительный комплекс на 5 тыс. тонн на участке Ааллаах с. Покровка Амгинского улуса Республ</w:t>
      </w:r>
      <w:r>
        <w:rPr>
          <w:rFonts w:ascii="Times New Roman" w:hAnsi="Times New Roman"/>
          <w:sz w:val="24"/>
          <w:szCs w:val="24"/>
        </w:rPr>
        <w:t>ики Саха (Якутия) - II очередь"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:rsidR="00767E16" w:rsidRDefault="00767E16" w:rsidP="00626D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  <w:r w:rsidRPr="00767E16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lastRenderedPageBreak/>
        <w:t>Довод заявителя о неправомерном допуске к участию в открытом конкурсе ООО «Сахасельстрой»</w:t>
      </w:r>
      <w:r w:rsidR="00FF2DB1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 xml:space="preserve"> в связи с приостановлением свидетельства СРО, предоставленного обществом в составе заявки на участие в конкурсе,</w:t>
      </w:r>
      <w:r w:rsidRPr="00767E16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 xml:space="preserve"> признан необоснованным на основании следующего.</w:t>
      </w:r>
    </w:p>
    <w:p w:rsidR="003E3832" w:rsidRPr="003E3832" w:rsidRDefault="003E3832" w:rsidP="003E38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В подтверждение своих доводов, заявителем представлены скриншоты (копии страниц) с официального сайта саморегулируемой организации в сети Интернет, датированные 21 июля 2013 г.</w:t>
      </w:r>
    </w:p>
    <w:p w:rsidR="00FF2DB1" w:rsidRDefault="00FF2DB1" w:rsidP="00FF2D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Из материалов дела установлено, что в составе заявки на участие в конкурсе ООО «Сахасельстрой» предоставлено свидетельство СРО № СРОСР-С-7399.1-24012013 от 24.01.2013 года.</w:t>
      </w:r>
    </w:p>
    <w:p w:rsidR="003E3832" w:rsidRDefault="003E3832" w:rsidP="00FF2D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Процедура рассмотрения заявок на участие в конкурсе состоялась 12 июля 2013 го</w:t>
      </w:r>
      <w:r w:rsidR="00D4721E">
        <w:rPr>
          <w:rFonts w:ascii="Times New Roman" w:eastAsia="Times New Roman" w:hAnsi="Times New Roman" w:cs="Times New Roman"/>
          <w:kern w:val="1"/>
          <w:sz w:val="24"/>
          <w:szCs w:val="24"/>
        </w:rPr>
        <w:t>да.</w:t>
      </w:r>
    </w:p>
    <w:p w:rsidR="00D4721E" w:rsidRPr="00D4721E" w:rsidRDefault="00D4721E" w:rsidP="00262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В соответствии с частью 9 статьи 55.8 Градостроительного кодекса </w:t>
      </w:r>
      <w:r>
        <w:rPr>
          <w:rFonts w:ascii="Times New Roman" w:hAnsi="Times New Roman" w:cs="Times New Roman"/>
          <w:sz w:val="24"/>
          <w:szCs w:val="24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выдается саморегулируемой организацией без ограничения срока и территории его действия.</w:t>
      </w:r>
    </w:p>
    <w:p w:rsidR="003E3832" w:rsidRDefault="003E3832" w:rsidP="003E38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свидетельства о допуске к работам может быть прекращено по основаниям, предусмотренным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ч. 15 ст. 55.8</w:t>
        </w:r>
      </w:hyperlink>
      <w:r w:rsidR="00D4721E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РФ:</w:t>
      </w:r>
    </w:p>
    <w:p w:rsidR="00D4721E" w:rsidRDefault="00D4721E" w:rsidP="00D47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решению постоянно действующего коллегиального органа управления саморегулируемой организации, принятому на основании заявления члена саморегулируемой организации;</w:t>
      </w:r>
    </w:p>
    <w:p w:rsidR="00D4721E" w:rsidRDefault="00D4721E" w:rsidP="00D47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работ, которые оказывают влияние на безопасность объектов капитального строительства;</w:t>
      </w:r>
    </w:p>
    <w:p w:rsidR="00D4721E" w:rsidRDefault="00D4721E" w:rsidP="00D47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2 статьи 55.15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выявленных нарушений, если действие свидетельства о допуске индивидуального предпринимателя или юридического лица к определенному виду или видам работ, которые оказывают влияние на безопасность объектов капитального строительства, приостановлено;</w:t>
      </w:r>
    </w:p>
    <w:p w:rsidR="00D4721E" w:rsidRDefault="00D4721E" w:rsidP="00D47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 решению суда;</w:t>
      </w:r>
    </w:p>
    <w:p w:rsidR="00D4721E" w:rsidRDefault="00D4721E" w:rsidP="00D47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случае прекращения членства в саморегулируемой организации;</w:t>
      </w:r>
    </w:p>
    <w:p w:rsidR="00D4721E" w:rsidRDefault="00D4721E" w:rsidP="00D47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по решению общего собрания членов саморегулируемой организации в случае применения меры дисциплинарного воздействия в соответствии со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55.15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Кодекса;</w:t>
      </w:r>
    </w:p>
    <w:p w:rsidR="00D4721E" w:rsidRDefault="00D4721E" w:rsidP="00D47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 случае исключения сведений о некоммерческой организации из государственного реестра саморегулируемых организаций.</w:t>
      </w:r>
    </w:p>
    <w:p w:rsidR="00D4721E" w:rsidRDefault="00D4721E" w:rsidP="00D47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Таким образом, приостановление действия свидетельства СРО не является основанием дл</w:t>
      </w:r>
      <w:r w:rsidR="00262371">
        <w:rPr>
          <w:rFonts w:ascii="Times New Roman" w:hAnsi="Times New Roman" w:cs="Times New Roman"/>
          <w:sz w:val="24"/>
          <w:szCs w:val="24"/>
        </w:rPr>
        <w:t>я признания данного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недействител</w:t>
      </w:r>
      <w:r w:rsidR="00262371">
        <w:rPr>
          <w:rFonts w:ascii="Times New Roman" w:hAnsi="Times New Roman" w:cs="Times New Roman"/>
          <w:sz w:val="24"/>
          <w:szCs w:val="24"/>
        </w:rPr>
        <w:t>ьным. Свидетельство СРО может быть признано недействительным, в случае, если представлены доказательства прекращения его действия в соответствии с частью 15 статьи 55.8 Градостроительного кодекса РФ.</w:t>
      </w:r>
    </w:p>
    <w:p w:rsidR="00626D44" w:rsidRDefault="00626D44" w:rsidP="00626D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Согласно п.17 ст.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18.1 Федерального закона «О защите конкуренции» в случае, если в ходе рассмотрения жалобы по существу установлены иные нарушения в действиях организатора торгов, аукционной комиссии, комиссия антимонопольного органа принимает решение с учетом всех выявленных нарушений.</w:t>
      </w:r>
    </w:p>
    <w:p w:rsidR="00B34361" w:rsidRDefault="00767E16" w:rsidP="00BA3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Как установлено пунктом 12</w:t>
      </w:r>
      <w:r w:rsidR="00BA3EB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части 10 статьи 4 Федерального</w:t>
      </w:r>
      <w:r w:rsidR="00BA3EBD" w:rsidRPr="00840B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закон</w:t>
      </w:r>
      <w:r w:rsidR="00BA3EBD">
        <w:rPr>
          <w:rFonts w:ascii="Times New Roman" w:eastAsia="Times New Roman" w:hAnsi="Times New Roman" w:cs="Times New Roman"/>
          <w:kern w:val="1"/>
          <w:sz w:val="24"/>
          <w:szCs w:val="24"/>
        </w:rPr>
        <w:t>а</w:t>
      </w:r>
      <w:r w:rsidR="00BA3EBD" w:rsidRPr="00840B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N 223-ФЗ</w:t>
      </w:r>
      <w:r w:rsidR="00BA3EB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BA3EBD">
        <w:rPr>
          <w:rFonts w:ascii="Times New Roman" w:hAnsi="Times New Roman" w:cs="Times New Roman"/>
          <w:sz w:val="24"/>
          <w:szCs w:val="24"/>
        </w:rPr>
        <w:t xml:space="preserve">в </w:t>
      </w:r>
      <w:r w:rsidR="00BA3EBD" w:rsidRPr="00BA3EBD">
        <w:rPr>
          <w:rFonts w:ascii="Times New Roman" w:hAnsi="Times New Roman" w:cs="Times New Roman"/>
          <w:i/>
          <w:sz w:val="24"/>
          <w:szCs w:val="24"/>
        </w:rPr>
        <w:t>документации о закупке должны быть указаны сведения, определенные положением о закупке</w:t>
      </w:r>
      <w:r>
        <w:rPr>
          <w:rFonts w:ascii="Times New Roman" w:hAnsi="Times New Roman" w:cs="Times New Roman"/>
          <w:sz w:val="24"/>
          <w:szCs w:val="24"/>
        </w:rPr>
        <w:t>, в том числе критерии</w:t>
      </w:r>
      <w:r w:rsidR="00BA3EBD">
        <w:rPr>
          <w:rFonts w:ascii="Times New Roman" w:hAnsi="Times New Roman" w:cs="Times New Roman"/>
          <w:sz w:val="24"/>
          <w:szCs w:val="24"/>
        </w:rPr>
        <w:t xml:space="preserve"> оценки и сопоставления заявок на участие в закупке.</w:t>
      </w:r>
    </w:p>
    <w:p w:rsidR="00BA3EBD" w:rsidRDefault="00BA3EBD" w:rsidP="00BA3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смыслу приведенной нормы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Федерального</w:t>
      </w:r>
      <w:r w:rsidRPr="00840B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а</w:t>
      </w:r>
      <w:r w:rsidRPr="00840B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N 223-ФЗ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0101A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документация о закупке разрабатывается заказчиком в соответствии с Положением о закупках, в котором </w:t>
      </w:r>
      <w:r w:rsidR="000101A4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>должны быть определены сведения и требования, предусмотренные частью 10 статьи 4 Федерального</w:t>
      </w:r>
      <w:r w:rsidR="000101A4" w:rsidRPr="00840B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закон</w:t>
      </w:r>
      <w:r w:rsidR="000101A4">
        <w:rPr>
          <w:rFonts w:ascii="Times New Roman" w:eastAsia="Times New Roman" w:hAnsi="Times New Roman" w:cs="Times New Roman"/>
          <w:kern w:val="1"/>
          <w:sz w:val="24"/>
          <w:szCs w:val="24"/>
        </w:rPr>
        <w:t>а</w:t>
      </w:r>
      <w:r w:rsidR="000101A4" w:rsidRPr="00840B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N 223-ФЗ</w:t>
      </w:r>
      <w:r w:rsidR="000101A4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:rsidR="00BA3EBD" w:rsidRPr="00BA3EBD" w:rsidRDefault="00BA3EBD" w:rsidP="00BA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материало</w:t>
      </w:r>
      <w:r w:rsidR="00767E16">
        <w:rPr>
          <w:rFonts w:ascii="Times New Roman" w:hAnsi="Times New Roman" w:cs="Times New Roman"/>
          <w:sz w:val="24"/>
          <w:szCs w:val="24"/>
        </w:rPr>
        <w:t>в дела установлено, что пункт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E16">
        <w:rPr>
          <w:rFonts w:ascii="Times New Roman" w:hAnsi="Times New Roman" w:cs="Times New Roman"/>
          <w:sz w:val="24"/>
          <w:szCs w:val="24"/>
        </w:rPr>
        <w:t xml:space="preserve">информационной карты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конкурсной документации содержит </w:t>
      </w:r>
      <w:r w:rsidR="00767E16">
        <w:rPr>
          <w:rFonts w:ascii="Times New Roman" w:eastAsia="Times New Roman" w:hAnsi="Times New Roman" w:cs="Times New Roman"/>
          <w:kern w:val="1"/>
          <w:sz w:val="24"/>
          <w:szCs w:val="24"/>
        </w:rPr>
        <w:t>критерии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оценки и сопоставления заявок на участие в конкурсе.</w:t>
      </w:r>
    </w:p>
    <w:p w:rsidR="000D1AD9" w:rsidRDefault="00BA3EBD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тем, Положением</w:t>
      </w:r>
      <w:r w:rsidR="00FE1AAB">
        <w:rPr>
          <w:rFonts w:ascii="Times New Roman" w:hAnsi="Times New Roman" w:cs="Times New Roman"/>
          <w:sz w:val="24"/>
          <w:szCs w:val="24"/>
        </w:rPr>
        <w:t xml:space="preserve"> о закупках </w:t>
      </w:r>
      <w:r w:rsidR="00767E16">
        <w:rPr>
          <w:rFonts w:ascii="Times New Roman" w:hAnsi="Times New Roman" w:cs="Times New Roman"/>
          <w:sz w:val="24"/>
          <w:szCs w:val="24"/>
        </w:rPr>
        <w:t>критерии</w:t>
      </w:r>
      <w:r w:rsidR="00134277">
        <w:rPr>
          <w:rFonts w:ascii="Times New Roman" w:hAnsi="Times New Roman" w:cs="Times New Roman"/>
          <w:sz w:val="24"/>
          <w:szCs w:val="24"/>
        </w:rPr>
        <w:t xml:space="preserve"> оценки </w:t>
      </w:r>
      <w:r w:rsidR="000101A4">
        <w:rPr>
          <w:rFonts w:ascii="Times New Roman" w:hAnsi="Times New Roman" w:cs="Times New Roman"/>
          <w:sz w:val="24"/>
          <w:szCs w:val="24"/>
        </w:rPr>
        <w:t xml:space="preserve">и сопоставления </w:t>
      </w:r>
      <w:r w:rsidR="00134277">
        <w:rPr>
          <w:rFonts w:ascii="Times New Roman" w:hAnsi="Times New Roman" w:cs="Times New Roman"/>
          <w:sz w:val="24"/>
          <w:szCs w:val="24"/>
        </w:rPr>
        <w:t>заявок 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не регламентирован</w:t>
      </w:r>
      <w:r w:rsidR="00767E16">
        <w:rPr>
          <w:rFonts w:ascii="Times New Roman" w:hAnsi="Times New Roman" w:cs="Times New Roman"/>
          <w:sz w:val="24"/>
          <w:szCs w:val="24"/>
        </w:rPr>
        <w:t>ы</w:t>
      </w:r>
      <w:r w:rsidR="00134277">
        <w:rPr>
          <w:rFonts w:ascii="Times New Roman" w:hAnsi="Times New Roman" w:cs="Times New Roman"/>
          <w:sz w:val="24"/>
          <w:szCs w:val="24"/>
        </w:rPr>
        <w:t xml:space="preserve">, что свидетельствует о </w:t>
      </w:r>
      <w:r w:rsidR="00403E4E">
        <w:rPr>
          <w:rFonts w:ascii="Times New Roman" w:hAnsi="Times New Roman" w:cs="Times New Roman"/>
          <w:sz w:val="24"/>
          <w:szCs w:val="24"/>
        </w:rPr>
        <w:t xml:space="preserve">несоответствии Положения о закупках </w:t>
      </w:r>
      <w:r w:rsidR="00D907D8">
        <w:rPr>
          <w:rFonts w:ascii="Times New Roman" w:hAnsi="Times New Roman" w:cs="Times New Roman"/>
          <w:sz w:val="24"/>
          <w:szCs w:val="24"/>
        </w:rPr>
        <w:t>требования</w:t>
      </w:r>
      <w:r w:rsidR="00403E4E">
        <w:rPr>
          <w:rFonts w:ascii="Times New Roman" w:hAnsi="Times New Roman" w:cs="Times New Roman"/>
          <w:sz w:val="24"/>
          <w:szCs w:val="24"/>
        </w:rPr>
        <w:t>м</w:t>
      </w:r>
      <w:r w:rsidR="00767E16">
        <w:rPr>
          <w:rFonts w:ascii="Times New Roman" w:hAnsi="Times New Roman" w:cs="Times New Roman"/>
          <w:sz w:val="24"/>
          <w:szCs w:val="24"/>
        </w:rPr>
        <w:t xml:space="preserve"> пункта 12</w:t>
      </w:r>
      <w:r w:rsidR="00D907D8">
        <w:rPr>
          <w:rFonts w:ascii="Times New Roman" w:hAnsi="Times New Roman" w:cs="Times New Roman"/>
          <w:sz w:val="24"/>
          <w:szCs w:val="24"/>
        </w:rPr>
        <w:t xml:space="preserve"> части 10 статьи 4</w:t>
      </w:r>
      <w:r w:rsidR="00134277">
        <w:rPr>
          <w:rFonts w:ascii="Times New Roman" w:hAnsi="Times New Roman" w:cs="Times New Roman"/>
          <w:sz w:val="24"/>
          <w:szCs w:val="24"/>
        </w:rPr>
        <w:t xml:space="preserve"> </w:t>
      </w:r>
      <w:r w:rsidR="00134277">
        <w:rPr>
          <w:rFonts w:ascii="Times New Roman" w:eastAsia="Times New Roman" w:hAnsi="Times New Roman" w:cs="Times New Roman"/>
          <w:kern w:val="1"/>
          <w:sz w:val="24"/>
          <w:szCs w:val="24"/>
        </w:rPr>
        <w:t>Федерального</w:t>
      </w:r>
      <w:r w:rsidR="00134277" w:rsidRPr="00840B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закон</w:t>
      </w:r>
      <w:r w:rsidR="00134277">
        <w:rPr>
          <w:rFonts w:ascii="Times New Roman" w:eastAsia="Times New Roman" w:hAnsi="Times New Roman" w:cs="Times New Roman"/>
          <w:kern w:val="1"/>
          <w:sz w:val="24"/>
          <w:szCs w:val="24"/>
        </w:rPr>
        <w:t>а</w:t>
      </w:r>
      <w:r w:rsidR="00134277" w:rsidRPr="00840B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N 223-ФЗ</w:t>
      </w:r>
      <w:r w:rsidR="0013427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</w:t>
      </w:r>
    </w:p>
    <w:p w:rsidR="002B5E69" w:rsidRDefault="002B5E69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На основании изложенного, руководствуясь частью 20 статьи 18.1 пунктом 3.1 ч.1 ст. 23 Федерального закона «О защите конкуренции», Комиссия Якутского УФАС России по рассмотрению жалоб на нарушение процедуры проведения торгов и порядка заключения договоров</w:t>
      </w:r>
      <w:r w:rsidR="00403E4E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:rsidR="00403E4E" w:rsidRPr="002B5E69" w:rsidRDefault="00403E4E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B5E69" w:rsidRDefault="002B5E69" w:rsidP="008752A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р е ш и л а :</w:t>
      </w:r>
    </w:p>
    <w:p w:rsidR="00403E4E" w:rsidRPr="002B5E69" w:rsidRDefault="00403E4E" w:rsidP="008752A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B5E69" w:rsidRPr="002B5E69" w:rsidRDefault="00134277" w:rsidP="00767E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1</w:t>
      </w:r>
      <w:r w:rsidR="00767E16">
        <w:rPr>
          <w:rFonts w:ascii="Times New Roman" w:eastAsia="Times New Roman" w:hAnsi="Times New Roman" w:cs="Times New Roman"/>
          <w:kern w:val="1"/>
          <w:sz w:val="24"/>
          <w:szCs w:val="24"/>
        </w:rPr>
        <w:t>. Жалобу ООО «СахаСтройМонтаж</w:t>
      </w:r>
      <w:r w:rsidR="002B5E69"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» на действия организатора торгов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– ОАО </w:t>
      </w:r>
      <w:r w:rsidR="00767E16">
        <w:rPr>
          <w:rFonts w:ascii="Times New Roman" w:eastAsia="Times New Roman" w:hAnsi="Times New Roman" w:cs="Times New Roman"/>
          <w:kern w:val="1"/>
          <w:sz w:val="24"/>
          <w:szCs w:val="24"/>
        </w:rPr>
        <w:t>ЛК «Тймаада-Лизинг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»</w:t>
      </w:r>
      <w:r w:rsidR="002B5E69"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 проведению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открытого конкурса </w:t>
      </w:r>
      <w:r w:rsidR="00767E16" w:rsidRPr="007C5C9C">
        <w:rPr>
          <w:rFonts w:ascii="Times New Roman" w:hAnsi="Times New Roman"/>
          <w:sz w:val="24"/>
          <w:szCs w:val="24"/>
        </w:rPr>
        <w:t>на право заключения договора подряда на выполнение строительно-монтажных работ по объекту "Зерноочистительный комплекс на 5 тыс. тонн на участке Ааллаах с. Покровка Амгинского улуса Республ</w:t>
      </w:r>
      <w:r w:rsidR="00767E16">
        <w:rPr>
          <w:rFonts w:ascii="Times New Roman" w:hAnsi="Times New Roman"/>
          <w:sz w:val="24"/>
          <w:szCs w:val="24"/>
        </w:rPr>
        <w:t>ики Саха (Якутия) - II очередь"</w:t>
      </w:r>
      <w:r w:rsidR="00767E1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признать  </w:t>
      </w:r>
      <w:r w:rsidR="002B5E69"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обоснованной.</w:t>
      </w:r>
    </w:p>
    <w:p w:rsidR="002B5E69" w:rsidRPr="002B5E69" w:rsidRDefault="00093E44" w:rsidP="00093E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3. Выдать ОАО </w:t>
      </w:r>
      <w:r w:rsidR="00767E16">
        <w:rPr>
          <w:rFonts w:ascii="Times New Roman" w:eastAsia="Times New Roman" w:hAnsi="Times New Roman" w:cs="Times New Roman"/>
          <w:kern w:val="1"/>
          <w:sz w:val="24"/>
          <w:szCs w:val="24"/>
        </w:rPr>
        <w:t>ЛК «Туймаада-Лизинг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» предписание об устранении допущенных нарушений.</w:t>
      </w:r>
      <w:r w:rsidR="002B5E69"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</w:p>
    <w:p w:rsidR="00093E44" w:rsidRDefault="00093E44" w:rsidP="00093E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Pr="002B5E69" w:rsidRDefault="00403E4E" w:rsidP="00093E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B5E69" w:rsidRPr="002B5E69" w:rsidRDefault="002B5E69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Председатель комиссии:                                                    </w:t>
      </w:r>
      <w:r w:rsidR="008752A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</w:t>
      </w: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О.А.Ярыгина </w:t>
      </w:r>
    </w:p>
    <w:p w:rsidR="002B5E69" w:rsidRPr="002B5E69" w:rsidRDefault="002B5E69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B5E69" w:rsidRPr="002B5E69" w:rsidRDefault="002B5E69" w:rsidP="008752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752A6" w:rsidRPr="002B5E69" w:rsidRDefault="002B5E69" w:rsidP="008752A6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Члены комиссии:</w:t>
      </w:r>
      <w:r w:rsidR="00767E16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="00767E16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="00767E16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="00767E16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="00767E16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="00767E16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="00767E16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="00767E16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О</w:t>
      </w:r>
      <w:r w:rsidR="008752A6"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  <w:r w:rsidR="00767E16">
        <w:rPr>
          <w:rFonts w:ascii="Times New Roman" w:eastAsia="Times New Roman" w:hAnsi="Times New Roman" w:cs="Times New Roman"/>
          <w:kern w:val="1"/>
          <w:sz w:val="24"/>
          <w:szCs w:val="24"/>
        </w:rPr>
        <w:t>А</w:t>
      </w:r>
      <w:r w:rsidR="008752A6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  <w:r w:rsidR="00403E4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767E16">
        <w:rPr>
          <w:rFonts w:ascii="Times New Roman" w:eastAsia="Times New Roman" w:hAnsi="Times New Roman" w:cs="Times New Roman"/>
          <w:kern w:val="1"/>
          <w:sz w:val="24"/>
          <w:szCs w:val="24"/>
        </w:rPr>
        <w:t>Местникова</w:t>
      </w:r>
    </w:p>
    <w:p w:rsidR="002B5E69" w:rsidRPr="002B5E69" w:rsidRDefault="002B5E69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B5E69" w:rsidRDefault="00767E16" w:rsidP="00767E16">
      <w:pPr>
        <w:widowControl w:val="0"/>
        <w:tabs>
          <w:tab w:val="left" w:pos="7797"/>
        </w:tabs>
        <w:suppressAutoHyphens/>
        <w:spacing w:after="0" w:line="240" w:lineRule="auto"/>
        <w:ind w:left="7788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 xml:space="preserve"> </w:t>
      </w:r>
    </w:p>
    <w:p w:rsidR="008752A6" w:rsidRPr="002B5E69" w:rsidRDefault="008752A6" w:rsidP="002B5E69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17FBE" w:rsidRPr="008752A6" w:rsidRDefault="008752A6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7E16">
        <w:rPr>
          <w:rFonts w:ascii="Times New Roman" w:hAnsi="Times New Roman" w:cs="Times New Roman"/>
        </w:rPr>
        <w:t>У.В</w:t>
      </w:r>
      <w:r>
        <w:rPr>
          <w:rFonts w:ascii="Times New Roman" w:hAnsi="Times New Roman" w:cs="Times New Roman"/>
        </w:rPr>
        <w:t xml:space="preserve">. </w:t>
      </w:r>
      <w:r w:rsidR="00767E16">
        <w:rPr>
          <w:rFonts w:ascii="Times New Roman" w:hAnsi="Times New Roman" w:cs="Times New Roman"/>
        </w:rPr>
        <w:t>Борисов</w:t>
      </w:r>
    </w:p>
    <w:sectPr w:rsidR="00417FBE" w:rsidRPr="008752A6" w:rsidSect="008752A6">
      <w:footerReference w:type="default" r:id="rId10"/>
      <w:pgSz w:w="11906" w:h="16838" w:code="9"/>
      <w:pgMar w:top="851" w:right="850" w:bottom="709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D68" w:rsidRDefault="00E22D68" w:rsidP="00E262F8">
      <w:pPr>
        <w:spacing w:after="0" w:line="240" w:lineRule="auto"/>
      </w:pPr>
      <w:r>
        <w:separator/>
      </w:r>
    </w:p>
  </w:endnote>
  <w:endnote w:type="continuationSeparator" w:id="1">
    <w:p w:rsidR="00E22D68" w:rsidRDefault="00E22D68" w:rsidP="00E2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233" w:rsidRDefault="00AE5AEA">
    <w:pPr>
      <w:pStyle w:val="a3"/>
      <w:jc w:val="right"/>
    </w:pPr>
    <w:r>
      <w:fldChar w:fldCharType="begin"/>
    </w:r>
    <w:r w:rsidR="00417FBE">
      <w:instrText xml:space="preserve"> PAGE   \* MERGEFORMAT </w:instrText>
    </w:r>
    <w:r>
      <w:fldChar w:fldCharType="separate"/>
    </w:r>
    <w:r w:rsidR="006E0AB1">
      <w:rPr>
        <w:noProof/>
      </w:rPr>
      <w:t>3</w:t>
    </w:r>
    <w:r>
      <w:fldChar w:fldCharType="end"/>
    </w:r>
  </w:p>
  <w:p w:rsidR="00C50233" w:rsidRDefault="00E22D6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D68" w:rsidRDefault="00E22D68" w:rsidP="00E262F8">
      <w:pPr>
        <w:spacing w:after="0" w:line="240" w:lineRule="auto"/>
      </w:pPr>
      <w:r>
        <w:separator/>
      </w:r>
    </w:p>
  </w:footnote>
  <w:footnote w:type="continuationSeparator" w:id="1">
    <w:p w:rsidR="00E22D68" w:rsidRDefault="00E22D68" w:rsidP="00E26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0A5E"/>
    <w:multiLevelType w:val="hybridMultilevel"/>
    <w:tmpl w:val="D5A82498"/>
    <w:lvl w:ilvl="0" w:tplc="001438F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5E69"/>
    <w:rsid w:val="000101A4"/>
    <w:rsid w:val="00032EDC"/>
    <w:rsid w:val="00093E44"/>
    <w:rsid w:val="00095D22"/>
    <w:rsid w:val="000A71AA"/>
    <w:rsid w:val="000C4AA3"/>
    <w:rsid w:val="000C76D0"/>
    <w:rsid w:val="000D1AD9"/>
    <w:rsid w:val="00134277"/>
    <w:rsid w:val="001B2F87"/>
    <w:rsid w:val="001E731A"/>
    <w:rsid w:val="001F3DBC"/>
    <w:rsid w:val="00205318"/>
    <w:rsid w:val="00262371"/>
    <w:rsid w:val="002B5E69"/>
    <w:rsid w:val="002D40AA"/>
    <w:rsid w:val="00325630"/>
    <w:rsid w:val="003B6344"/>
    <w:rsid w:val="003E3832"/>
    <w:rsid w:val="00403E4E"/>
    <w:rsid w:val="00410532"/>
    <w:rsid w:val="00417FBE"/>
    <w:rsid w:val="0042046A"/>
    <w:rsid w:val="004255F7"/>
    <w:rsid w:val="004507DB"/>
    <w:rsid w:val="00511C73"/>
    <w:rsid w:val="00597A13"/>
    <w:rsid w:val="005B0580"/>
    <w:rsid w:val="005D2110"/>
    <w:rsid w:val="00626D44"/>
    <w:rsid w:val="006D1ED8"/>
    <w:rsid w:val="006E0AB1"/>
    <w:rsid w:val="006E2FC9"/>
    <w:rsid w:val="007457B5"/>
    <w:rsid w:val="00751A5E"/>
    <w:rsid w:val="00767706"/>
    <w:rsid w:val="00767E16"/>
    <w:rsid w:val="007D3298"/>
    <w:rsid w:val="00840B9B"/>
    <w:rsid w:val="0084677D"/>
    <w:rsid w:val="00852E6B"/>
    <w:rsid w:val="008752A6"/>
    <w:rsid w:val="008F2A22"/>
    <w:rsid w:val="00945C50"/>
    <w:rsid w:val="009524D1"/>
    <w:rsid w:val="0098553D"/>
    <w:rsid w:val="00997338"/>
    <w:rsid w:val="009A122C"/>
    <w:rsid w:val="00A60ADB"/>
    <w:rsid w:val="00AA6FAA"/>
    <w:rsid w:val="00AE5AEA"/>
    <w:rsid w:val="00B34361"/>
    <w:rsid w:val="00B57E9D"/>
    <w:rsid w:val="00BA3EBD"/>
    <w:rsid w:val="00C803C0"/>
    <w:rsid w:val="00D065D0"/>
    <w:rsid w:val="00D36CE2"/>
    <w:rsid w:val="00D4721E"/>
    <w:rsid w:val="00D907D8"/>
    <w:rsid w:val="00E1485A"/>
    <w:rsid w:val="00E22D68"/>
    <w:rsid w:val="00E262F8"/>
    <w:rsid w:val="00EC4BDD"/>
    <w:rsid w:val="00F11439"/>
    <w:rsid w:val="00F77B62"/>
    <w:rsid w:val="00FD5285"/>
    <w:rsid w:val="00FE1AAB"/>
    <w:rsid w:val="00FF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5E69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6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B5E69"/>
    <w:rPr>
      <w:rFonts w:ascii="Times New Roman" w:eastAsia="Times New Roman" w:hAnsi="Times New Roman" w:cs="Times New Roman"/>
      <w:kern w:val="1"/>
      <w:sz w:val="26"/>
      <w:szCs w:val="24"/>
    </w:rPr>
  </w:style>
  <w:style w:type="table" w:styleId="a5">
    <w:name w:val="Table Grid"/>
    <w:basedOn w:val="a1"/>
    <w:uiPriority w:val="59"/>
    <w:rsid w:val="00C80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21AD6EBE00F0572A1C44090F489DD27E52E84BA2DF9E794A5361B975505420CDFD8D98C3A6CF78NEn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F1D9E9969900D799EB66597981C765DC0117E695049BC29CA186E3C15D8B665D3CC2BAC254309FGBlB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21AD6EBE00F0572A1C44090F489DD27E52E84BA2DF9E794A5361B975505420CDFD8D98C3A6CF79NEn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5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to14-praktikant</dc:creator>
  <cp:keywords/>
  <dc:description/>
  <cp:lastModifiedBy>to14-praktikant</cp:lastModifiedBy>
  <cp:revision>7</cp:revision>
  <cp:lastPrinted>2013-08-03T10:08:00Z</cp:lastPrinted>
  <dcterms:created xsi:type="dcterms:W3CDTF">2013-06-19T07:28:00Z</dcterms:created>
  <dcterms:modified xsi:type="dcterms:W3CDTF">2013-08-03T10:11:00Z</dcterms:modified>
</cp:coreProperties>
</file>